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B8F44" w14:textId="77777777" w:rsidR="00F350B4" w:rsidRPr="00ED4758" w:rsidRDefault="00F350B4" w:rsidP="00BB34F9">
      <w:pPr>
        <w:jc w:val="center"/>
        <w:rPr>
          <w:b/>
          <w:sz w:val="48"/>
          <w:szCs w:val="48"/>
          <w:lang w:val="en-GB"/>
        </w:rPr>
      </w:pPr>
      <w:bookmarkStart w:id="0" w:name="_Hlk39263180"/>
      <w:bookmarkEnd w:id="0"/>
    </w:p>
    <w:p w14:paraId="5483EEDB" w14:textId="77777777" w:rsidR="00F350B4" w:rsidRPr="00ED4758" w:rsidRDefault="00F350B4" w:rsidP="00BB34F9">
      <w:pPr>
        <w:jc w:val="center"/>
        <w:rPr>
          <w:b/>
          <w:sz w:val="48"/>
          <w:szCs w:val="48"/>
          <w:lang w:val="en-GB"/>
        </w:rPr>
      </w:pPr>
    </w:p>
    <w:p w14:paraId="646F2884" w14:textId="77777777" w:rsidR="00F350B4" w:rsidRPr="00ED4758" w:rsidRDefault="00F350B4" w:rsidP="00BB34F9">
      <w:pPr>
        <w:jc w:val="center"/>
        <w:rPr>
          <w:b/>
          <w:sz w:val="48"/>
          <w:szCs w:val="48"/>
          <w:lang w:val="en-GB"/>
        </w:rPr>
      </w:pPr>
    </w:p>
    <w:p w14:paraId="17722B72" w14:textId="77777777" w:rsidR="00F350B4" w:rsidRPr="00ED4758" w:rsidRDefault="00F350B4" w:rsidP="00BB34F9">
      <w:pPr>
        <w:jc w:val="center"/>
        <w:rPr>
          <w:b/>
          <w:sz w:val="48"/>
          <w:szCs w:val="48"/>
          <w:lang w:val="en-GB"/>
        </w:rPr>
      </w:pPr>
    </w:p>
    <w:p w14:paraId="11F95F93" w14:textId="77777777" w:rsidR="00F350B4" w:rsidRPr="00ED4758" w:rsidRDefault="00F350B4" w:rsidP="00BB34F9">
      <w:pPr>
        <w:jc w:val="center"/>
        <w:rPr>
          <w:b/>
          <w:sz w:val="48"/>
          <w:szCs w:val="48"/>
          <w:lang w:val="en-GB"/>
        </w:rPr>
      </w:pPr>
    </w:p>
    <w:p w14:paraId="3AEE8907" w14:textId="6447D397" w:rsidR="00B45100" w:rsidRPr="00ED4758" w:rsidRDefault="001B0BD4" w:rsidP="00BB34F9">
      <w:pPr>
        <w:jc w:val="center"/>
        <w:rPr>
          <w:b/>
          <w:sz w:val="48"/>
          <w:szCs w:val="48"/>
          <w:lang w:val="en-GB"/>
        </w:rPr>
      </w:pPr>
      <w:r w:rsidRPr="00ED4758">
        <w:rPr>
          <w:b/>
          <w:sz w:val="48"/>
          <w:szCs w:val="48"/>
          <w:lang w:val="en-GB"/>
        </w:rPr>
        <w:t>MANAGEMENT REPORT</w:t>
      </w:r>
    </w:p>
    <w:p w14:paraId="6C0B9C8B" w14:textId="77777777" w:rsidR="00B45100" w:rsidRPr="00ED4758" w:rsidRDefault="00B45100" w:rsidP="00BB34F9">
      <w:pPr>
        <w:jc w:val="center"/>
        <w:rPr>
          <w:b/>
          <w:sz w:val="48"/>
          <w:szCs w:val="48"/>
          <w:lang w:val="en-GB"/>
        </w:rPr>
      </w:pPr>
    </w:p>
    <w:p w14:paraId="148179E2" w14:textId="27A74FAC" w:rsidR="00B45100" w:rsidRPr="00ED4758" w:rsidRDefault="001B0BD4" w:rsidP="00BB34F9">
      <w:pPr>
        <w:jc w:val="center"/>
        <w:rPr>
          <w:b/>
          <w:sz w:val="48"/>
          <w:szCs w:val="48"/>
          <w:lang w:val="en-GB"/>
        </w:rPr>
      </w:pPr>
      <w:r w:rsidRPr="00ED4758">
        <w:rPr>
          <w:b/>
          <w:sz w:val="48"/>
          <w:szCs w:val="48"/>
          <w:lang w:val="en-GB"/>
        </w:rPr>
        <w:t>JSC</w:t>
      </w:r>
      <w:r w:rsidR="00B45100" w:rsidRPr="00ED4758">
        <w:rPr>
          <w:b/>
          <w:sz w:val="48"/>
          <w:szCs w:val="48"/>
          <w:lang w:val="en-GB"/>
        </w:rPr>
        <w:t xml:space="preserve"> </w:t>
      </w:r>
      <w:r w:rsidR="003A053A" w:rsidRPr="00ED4758">
        <w:rPr>
          <w:b/>
          <w:sz w:val="48"/>
          <w:szCs w:val="48"/>
          <w:lang w:val="en-GB"/>
        </w:rPr>
        <w:t>“</w:t>
      </w:r>
      <w:r w:rsidRPr="00ED4758">
        <w:rPr>
          <w:b/>
          <w:sz w:val="48"/>
          <w:szCs w:val="48"/>
          <w:lang w:val="en-GB"/>
        </w:rPr>
        <w:t>UKRAINIAN BANK FOR RECONSTRUCTION AND DEVELOPMENT</w:t>
      </w:r>
      <w:r w:rsidR="00B45100" w:rsidRPr="00ED4758">
        <w:rPr>
          <w:b/>
          <w:sz w:val="48"/>
          <w:szCs w:val="48"/>
          <w:lang w:val="en-GB"/>
        </w:rPr>
        <w:t>”</w:t>
      </w:r>
    </w:p>
    <w:p w14:paraId="462D9078" w14:textId="77777777" w:rsidR="00B45100" w:rsidRPr="00ED4758" w:rsidRDefault="00B45100" w:rsidP="00BB34F9">
      <w:pPr>
        <w:jc w:val="center"/>
        <w:rPr>
          <w:b/>
          <w:sz w:val="48"/>
          <w:szCs w:val="48"/>
          <w:lang w:val="en-GB"/>
        </w:rPr>
      </w:pPr>
    </w:p>
    <w:p w14:paraId="5D0C1C5D" w14:textId="33B2AF6B" w:rsidR="00B45100" w:rsidRPr="00ED4758" w:rsidRDefault="001B0BD4" w:rsidP="00BB34F9">
      <w:pPr>
        <w:jc w:val="center"/>
        <w:rPr>
          <w:sz w:val="48"/>
          <w:szCs w:val="48"/>
          <w:lang w:val="en-GB"/>
        </w:rPr>
      </w:pPr>
      <w:r w:rsidRPr="00ED4758">
        <w:rPr>
          <w:sz w:val="32"/>
          <w:szCs w:val="32"/>
          <w:lang w:val="en-GB"/>
        </w:rPr>
        <w:t>for</w:t>
      </w:r>
      <w:r w:rsidR="00B45100" w:rsidRPr="00ED4758">
        <w:rPr>
          <w:sz w:val="32"/>
          <w:szCs w:val="32"/>
          <w:lang w:val="en-GB"/>
        </w:rPr>
        <w:t xml:space="preserve"> 201</w:t>
      </w:r>
      <w:r w:rsidR="00B41355" w:rsidRPr="00ED4758">
        <w:rPr>
          <w:sz w:val="32"/>
          <w:szCs w:val="32"/>
          <w:lang w:val="en-GB"/>
        </w:rPr>
        <w:t>9</w:t>
      </w:r>
      <w:r w:rsidR="00B45100" w:rsidRPr="00ED4758">
        <w:rPr>
          <w:sz w:val="32"/>
          <w:szCs w:val="32"/>
          <w:lang w:val="en-GB"/>
        </w:rPr>
        <w:t xml:space="preserve"> </w:t>
      </w:r>
    </w:p>
    <w:p w14:paraId="34A914A5" w14:textId="77777777" w:rsidR="00B45100" w:rsidRPr="00ED4758" w:rsidRDefault="00B45100" w:rsidP="00BB34F9">
      <w:pPr>
        <w:jc w:val="center"/>
        <w:rPr>
          <w:sz w:val="28"/>
          <w:szCs w:val="28"/>
          <w:lang w:val="en-GB"/>
        </w:rPr>
      </w:pPr>
    </w:p>
    <w:p w14:paraId="5589D741" w14:textId="77777777" w:rsidR="00B45100" w:rsidRPr="00ED4758" w:rsidRDefault="00B45100" w:rsidP="00BB34F9">
      <w:pPr>
        <w:jc w:val="center"/>
        <w:rPr>
          <w:sz w:val="28"/>
          <w:szCs w:val="28"/>
          <w:lang w:val="en-GB"/>
        </w:rPr>
      </w:pPr>
    </w:p>
    <w:p w14:paraId="2413C63C" w14:textId="77777777" w:rsidR="00B45100" w:rsidRPr="00ED4758" w:rsidRDefault="00B45100" w:rsidP="00BB34F9">
      <w:pPr>
        <w:jc w:val="center"/>
        <w:rPr>
          <w:sz w:val="28"/>
          <w:szCs w:val="28"/>
          <w:lang w:val="en-GB"/>
        </w:rPr>
      </w:pPr>
    </w:p>
    <w:p w14:paraId="25A8BBAC" w14:textId="77777777" w:rsidR="00B45100" w:rsidRPr="00ED4758" w:rsidRDefault="00B45100" w:rsidP="00BB34F9">
      <w:pPr>
        <w:jc w:val="center"/>
        <w:rPr>
          <w:sz w:val="28"/>
          <w:szCs w:val="28"/>
          <w:lang w:val="en-GB"/>
        </w:rPr>
      </w:pPr>
    </w:p>
    <w:p w14:paraId="55348116" w14:textId="77777777" w:rsidR="00B45100" w:rsidRPr="00ED4758" w:rsidRDefault="00B45100" w:rsidP="00BB34F9">
      <w:pPr>
        <w:jc w:val="center"/>
        <w:rPr>
          <w:sz w:val="28"/>
          <w:szCs w:val="28"/>
          <w:lang w:val="en-GB"/>
        </w:rPr>
      </w:pPr>
    </w:p>
    <w:p w14:paraId="5A490D65" w14:textId="77777777" w:rsidR="00B45100" w:rsidRPr="00ED4758" w:rsidRDefault="00B45100" w:rsidP="00BB34F9">
      <w:pPr>
        <w:jc w:val="center"/>
        <w:rPr>
          <w:sz w:val="28"/>
          <w:szCs w:val="28"/>
          <w:lang w:val="en-GB"/>
        </w:rPr>
      </w:pPr>
    </w:p>
    <w:p w14:paraId="3F93C4D1" w14:textId="77777777" w:rsidR="00B45100" w:rsidRPr="00ED4758" w:rsidRDefault="00B45100" w:rsidP="00BB34F9">
      <w:pPr>
        <w:jc w:val="center"/>
        <w:rPr>
          <w:sz w:val="28"/>
          <w:szCs w:val="28"/>
          <w:lang w:val="en-GB"/>
        </w:rPr>
      </w:pPr>
    </w:p>
    <w:p w14:paraId="22F259B3" w14:textId="77777777" w:rsidR="00B45100" w:rsidRPr="00ED4758" w:rsidRDefault="00B45100" w:rsidP="00BB34F9">
      <w:pPr>
        <w:jc w:val="center"/>
        <w:rPr>
          <w:sz w:val="28"/>
          <w:szCs w:val="28"/>
          <w:lang w:val="en-GB"/>
        </w:rPr>
      </w:pPr>
    </w:p>
    <w:p w14:paraId="4667DE5A" w14:textId="77777777" w:rsidR="00B45100" w:rsidRPr="00ED4758" w:rsidRDefault="00B45100" w:rsidP="00BB34F9">
      <w:pPr>
        <w:jc w:val="center"/>
        <w:rPr>
          <w:sz w:val="28"/>
          <w:szCs w:val="28"/>
          <w:lang w:val="en-GB"/>
        </w:rPr>
      </w:pPr>
    </w:p>
    <w:p w14:paraId="19C9F0A0" w14:textId="77777777" w:rsidR="00B45100" w:rsidRPr="00ED4758" w:rsidRDefault="00B45100" w:rsidP="00BB34F9">
      <w:pPr>
        <w:jc w:val="center"/>
        <w:rPr>
          <w:sz w:val="28"/>
          <w:szCs w:val="28"/>
          <w:lang w:val="en-GB"/>
        </w:rPr>
      </w:pPr>
    </w:p>
    <w:p w14:paraId="7320DA00" w14:textId="77777777" w:rsidR="00B45100" w:rsidRPr="00ED4758" w:rsidRDefault="00B45100" w:rsidP="00BB34F9">
      <w:pPr>
        <w:jc w:val="center"/>
        <w:rPr>
          <w:sz w:val="28"/>
          <w:szCs w:val="28"/>
          <w:lang w:val="en-GB"/>
        </w:rPr>
      </w:pPr>
    </w:p>
    <w:p w14:paraId="4E5834D3" w14:textId="77777777" w:rsidR="00B45100" w:rsidRPr="00ED4758" w:rsidRDefault="00B45100" w:rsidP="00BB34F9">
      <w:pPr>
        <w:jc w:val="center"/>
        <w:rPr>
          <w:sz w:val="28"/>
          <w:szCs w:val="28"/>
          <w:lang w:val="en-GB"/>
        </w:rPr>
      </w:pPr>
    </w:p>
    <w:p w14:paraId="28EF6230" w14:textId="77777777" w:rsidR="00B45100" w:rsidRPr="00ED4758" w:rsidRDefault="00B45100" w:rsidP="00BB34F9">
      <w:pPr>
        <w:jc w:val="center"/>
        <w:rPr>
          <w:sz w:val="28"/>
          <w:szCs w:val="28"/>
          <w:lang w:val="en-GB"/>
        </w:rPr>
      </w:pPr>
    </w:p>
    <w:p w14:paraId="0296959F" w14:textId="77777777" w:rsidR="00B45100" w:rsidRPr="00ED4758" w:rsidRDefault="00B45100" w:rsidP="00BB34F9">
      <w:pPr>
        <w:jc w:val="center"/>
        <w:rPr>
          <w:sz w:val="28"/>
          <w:szCs w:val="28"/>
          <w:lang w:val="en-GB"/>
        </w:rPr>
      </w:pPr>
    </w:p>
    <w:p w14:paraId="65F6A17E" w14:textId="77777777" w:rsidR="00B45100" w:rsidRPr="00ED4758" w:rsidRDefault="00B45100" w:rsidP="00BB34F9">
      <w:pPr>
        <w:jc w:val="center"/>
        <w:rPr>
          <w:sz w:val="28"/>
          <w:szCs w:val="28"/>
          <w:lang w:val="en-GB"/>
        </w:rPr>
      </w:pPr>
    </w:p>
    <w:p w14:paraId="419E4979" w14:textId="77777777" w:rsidR="00B45100" w:rsidRPr="00ED4758" w:rsidRDefault="00B45100" w:rsidP="00BB34F9">
      <w:pPr>
        <w:jc w:val="center"/>
        <w:rPr>
          <w:sz w:val="28"/>
          <w:szCs w:val="28"/>
          <w:lang w:val="en-GB"/>
        </w:rPr>
      </w:pPr>
    </w:p>
    <w:p w14:paraId="70758A9C" w14:textId="77777777" w:rsidR="00B45100" w:rsidRPr="00ED4758" w:rsidRDefault="00B45100" w:rsidP="00BB34F9">
      <w:pPr>
        <w:jc w:val="center"/>
        <w:rPr>
          <w:sz w:val="28"/>
          <w:szCs w:val="28"/>
          <w:lang w:val="en-GB"/>
        </w:rPr>
      </w:pPr>
    </w:p>
    <w:p w14:paraId="685372D6" w14:textId="77777777" w:rsidR="00B45100" w:rsidRPr="00ED4758" w:rsidRDefault="00B45100" w:rsidP="00BB34F9">
      <w:pPr>
        <w:rPr>
          <w:sz w:val="28"/>
          <w:szCs w:val="28"/>
          <w:lang w:val="en-GB"/>
        </w:rPr>
      </w:pPr>
    </w:p>
    <w:p w14:paraId="646978CC" w14:textId="77777777" w:rsidR="00B45100" w:rsidRPr="00ED4758" w:rsidRDefault="00B45100" w:rsidP="00BB34F9">
      <w:pPr>
        <w:rPr>
          <w:sz w:val="28"/>
          <w:szCs w:val="28"/>
          <w:lang w:val="en-GB"/>
        </w:rPr>
      </w:pPr>
    </w:p>
    <w:p w14:paraId="3D4C0A05" w14:textId="77777777" w:rsidR="00B45100" w:rsidRPr="00ED4758" w:rsidRDefault="00B45100" w:rsidP="00BB34F9">
      <w:pPr>
        <w:rPr>
          <w:sz w:val="28"/>
          <w:szCs w:val="28"/>
          <w:lang w:val="en-GB"/>
        </w:rPr>
      </w:pPr>
    </w:p>
    <w:p w14:paraId="2929287A" w14:textId="77777777" w:rsidR="00B45100" w:rsidRPr="00ED4758" w:rsidRDefault="00B45100" w:rsidP="00BB34F9">
      <w:pPr>
        <w:rPr>
          <w:sz w:val="28"/>
          <w:szCs w:val="28"/>
          <w:lang w:val="en-GB"/>
        </w:rPr>
      </w:pPr>
    </w:p>
    <w:p w14:paraId="382E1FFF" w14:textId="77777777" w:rsidR="00EF7A6C" w:rsidRPr="00ED4758" w:rsidRDefault="00EF7A6C" w:rsidP="00BB34F9">
      <w:pPr>
        <w:rPr>
          <w:sz w:val="28"/>
          <w:szCs w:val="28"/>
          <w:lang w:val="en-GB"/>
        </w:rPr>
      </w:pPr>
    </w:p>
    <w:p w14:paraId="3A273C64" w14:textId="6E0FB9CD" w:rsidR="00B45100" w:rsidRPr="00ED4758" w:rsidRDefault="001B0BD4" w:rsidP="00BB34F9">
      <w:pPr>
        <w:jc w:val="center"/>
        <w:rPr>
          <w:b/>
          <w:sz w:val="28"/>
          <w:szCs w:val="28"/>
          <w:lang w:val="en-GB"/>
        </w:rPr>
      </w:pPr>
      <w:r w:rsidRPr="00ED4758">
        <w:rPr>
          <w:b/>
          <w:sz w:val="28"/>
          <w:szCs w:val="28"/>
          <w:lang w:val="en-GB"/>
        </w:rPr>
        <w:lastRenderedPageBreak/>
        <w:t>MANAGEMENT REPORT</w:t>
      </w:r>
    </w:p>
    <w:p w14:paraId="0E44A77E" w14:textId="77777777" w:rsidR="00B45100" w:rsidRPr="00ED4758" w:rsidRDefault="00B45100" w:rsidP="00BB34F9">
      <w:pPr>
        <w:rPr>
          <w:b/>
          <w:sz w:val="28"/>
          <w:szCs w:val="28"/>
          <w:lang w:val="en-GB"/>
        </w:rPr>
      </w:pPr>
    </w:p>
    <w:p w14:paraId="7ADA341C" w14:textId="6B216A9E" w:rsidR="00B45100" w:rsidRPr="00ED4758" w:rsidRDefault="001B0BD4" w:rsidP="00BB34F9">
      <w:pPr>
        <w:ind w:firstLine="540"/>
        <w:jc w:val="both"/>
        <w:rPr>
          <w:lang w:val="en-GB"/>
        </w:rPr>
      </w:pPr>
      <w:r w:rsidRPr="00ED4758">
        <w:rPr>
          <w:lang w:val="en-GB"/>
        </w:rPr>
        <w:t>Full name of the Bank is Joint Stock Company “Ukrainian bank for reconstruction and development”</w:t>
      </w:r>
    </w:p>
    <w:p w14:paraId="200DFDE0" w14:textId="1EC9D318" w:rsidR="00B45100" w:rsidRPr="00ED4758" w:rsidRDefault="001B0BD4" w:rsidP="00BB34F9">
      <w:pPr>
        <w:ind w:firstLine="540"/>
        <w:jc w:val="both"/>
        <w:rPr>
          <w:lang w:val="en-GB"/>
        </w:rPr>
      </w:pPr>
      <w:r w:rsidRPr="00ED4758">
        <w:rPr>
          <w:lang w:val="en-GB"/>
        </w:rPr>
        <w:t>Location</w:t>
      </w:r>
      <w:r w:rsidR="00B45100" w:rsidRPr="00ED4758">
        <w:rPr>
          <w:lang w:val="en-GB"/>
        </w:rPr>
        <w:t xml:space="preserve">: </w:t>
      </w:r>
      <w:r w:rsidRPr="00ED4758">
        <w:rPr>
          <w:lang w:val="en-GB"/>
        </w:rPr>
        <w:t xml:space="preserve">4, Oleksiia Teryokhina street, Kyiv, </w:t>
      </w:r>
      <w:r w:rsidR="00B45100" w:rsidRPr="00ED4758">
        <w:rPr>
          <w:lang w:val="en-GB"/>
        </w:rPr>
        <w:t>04080</w:t>
      </w:r>
    </w:p>
    <w:p w14:paraId="53D13CD6" w14:textId="5EF820ED" w:rsidR="00B45100" w:rsidRPr="00ED4758" w:rsidRDefault="001B0BD4" w:rsidP="00BB34F9">
      <w:pPr>
        <w:ind w:firstLine="540"/>
        <w:jc w:val="both"/>
        <w:rPr>
          <w:lang w:val="en-GB"/>
        </w:rPr>
      </w:pPr>
      <w:r w:rsidRPr="00ED4758">
        <w:rPr>
          <w:lang w:val="en-GB"/>
        </w:rPr>
        <w:t>The Bank was founded in Ukraine on December 17, 2003 and is the legal successor of Open joint stock</w:t>
      </w:r>
      <w:r w:rsidR="009710D0" w:rsidRPr="00ED4758">
        <w:rPr>
          <w:lang w:val="en-GB"/>
        </w:rPr>
        <w:t xml:space="preserve"> company</w:t>
      </w:r>
      <w:r w:rsidRPr="00ED4758">
        <w:rPr>
          <w:lang w:val="en-GB"/>
        </w:rPr>
        <w:t xml:space="preserve"> “Ukrainian bank for reconstruction and development”, Closed joint stock company “Ukrainian bank for reconstruction and development” and Public joint stock company “Ukrainian bank for reconstruction and development”. </w:t>
      </w:r>
    </w:p>
    <w:p w14:paraId="1D17BC01" w14:textId="1ED17652" w:rsidR="00B45100" w:rsidRPr="00ED4758" w:rsidRDefault="001B0BD4" w:rsidP="00BB34F9">
      <w:pPr>
        <w:ind w:firstLine="540"/>
        <w:jc w:val="both"/>
        <w:rPr>
          <w:lang w:val="en-GB"/>
        </w:rPr>
      </w:pPr>
      <w:r w:rsidRPr="00ED4758">
        <w:rPr>
          <w:lang w:val="en-GB"/>
        </w:rPr>
        <w:t>Currently the Bank is the only bank in Ukraine with Chinese investments, which is fully owned by beneficiary owners who are citizens of the People’s Republic of China.</w:t>
      </w:r>
    </w:p>
    <w:p w14:paraId="3294392C" w14:textId="48C611D3" w:rsidR="00B45100" w:rsidRPr="00ED4758" w:rsidRDefault="001B0BD4" w:rsidP="00BB34F9">
      <w:pPr>
        <w:ind w:firstLine="540"/>
        <w:jc w:val="both"/>
        <w:rPr>
          <w:lang w:val="en-GB"/>
        </w:rPr>
      </w:pPr>
      <w:r w:rsidRPr="00ED4758">
        <w:rPr>
          <w:lang w:val="en-GB"/>
        </w:rPr>
        <w:t xml:space="preserve">The Bank is a member of Chinese Commerce Association, </w:t>
      </w:r>
      <w:r w:rsidR="007751D1" w:rsidRPr="00ED4758">
        <w:rPr>
          <w:lang w:val="en-GB"/>
        </w:rPr>
        <w:t>Association “Ukrainian National SWIFT Members’ and Users</w:t>
      </w:r>
      <w:r w:rsidR="009710D0" w:rsidRPr="00ED4758">
        <w:rPr>
          <w:lang w:val="en-GB"/>
        </w:rPr>
        <w:t>’</w:t>
      </w:r>
      <w:r w:rsidR="007751D1" w:rsidRPr="00ED4758">
        <w:rPr>
          <w:lang w:val="en-GB"/>
        </w:rPr>
        <w:t xml:space="preserve"> Group “</w:t>
      </w:r>
      <w:proofErr w:type="spellStart"/>
      <w:r w:rsidR="007751D1" w:rsidRPr="00ED4758">
        <w:rPr>
          <w:lang w:val="en-GB"/>
        </w:rPr>
        <w:t>UkrSWIFT</w:t>
      </w:r>
      <w:proofErr w:type="spellEnd"/>
      <w:r w:rsidR="007751D1" w:rsidRPr="00ED4758">
        <w:rPr>
          <w:lang w:val="en-GB"/>
        </w:rPr>
        <w:t>”</w:t>
      </w:r>
      <w:r w:rsidR="009710D0" w:rsidRPr="00ED4758">
        <w:rPr>
          <w:lang w:val="en-GB"/>
        </w:rPr>
        <w:t xml:space="preserve">” </w:t>
      </w:r>
      <w:r w:rsidR="007751D1" w:rsidRPr="00ED4758">
        <w:rPr>
          <w:lang w:val="en-GB"/>
        </w:rPr>
        <w:t xml:space="preserve">and is a member of the self-regulated association of professional players </w:t>
      </w:r>
      <w:r w:rsidR="009710D0" w:rsidRPr="00ED4758">
        <w:rPr>
          <w:lang w:val="en-GB"/>
        </w:rPr>
        <w:t>on</w:t>
      </w:r>
      <w:r w:rsidR="007751D1" w:rsidRPr="00ED4758">
        <w:rPr>
          <w:lang w:val="en-GB"/>
        </w:rPr>
        <w:t xml:space="preserve"> securities market “Ukrainian Stock Traders”. </w:t>
      </w:r>
    </w:p>
    <w:p w14:paraId="7B621968" w14:textId="77777777" w:rsidR="00B45100" w:rsidRPr="00ED4758" w:rsidRDefault="00B45100" w:rsidP="00BB34F9">
      <w:pPr>
        <w:ind w:firstLine="540"/>
        <w:jc w:val="both"/>
        <w:rPr>
          <w:lang w:val="en-GB"/>
        </w:rPr>
      </w:pPr>
    </w:p>
    <w:p w14:paraId="53A367FD" w14:textId="2F750A63" w:rsidR="00290ACE" w:rsidRPr="00ED4758" w:rsidRDefault="00290ACE" w:rsidP="00BB34F9">
      <w:pPr>
        <w:ind w:firstLine="540"/>
        <w:jc w:val="both"/>
        <w:rPr>
          <w:lang w:val="en-GB"/>
        </w:rPr>
      </w:pPr>
      <w:r w:rsidRPr="00ED4758">
        <w:rPr>
          <w:lang w:val="en-GB"/>
        </w:rPr>
        <w:t xml:space="preserve">This “Management Report of the Joint Stock Company “Ukrainian </w:t>
      </w:r>
      <w:r w:rsidR="009710D0" w:rsidRPr="00ED4758">
        <w:rPr>
          <w:lang w:val="en-GB"/>
        </w:rPr>
        <w:t>bank for reconstruction and development”</w:t>
      </w:r>
      <w:r w:rsidRPr="00ED4758">
        <w:rPr>
          <w:lang w:val="en-GB"/>
        </w:rPr>
        <w:t xml:space="preserve"> for 2019” has been prepared and is submitted in accordance with the requirements of the Law of Ukraine “On Securities and the Stock Market”, the Law of Ukraine “On Financial Services and State Regulation of Financial Services Markets”, “Instruction on the procedure for preparation and publication of financial statements of Ukrainian banks”, approved by the resolution of the Board of the National Bank of Ukraine No</w:t>
      </w:r>
      <w:r w:rsidR="00ED4758" w:rsidRPr="00ED4758">
        <w:rPr>
          <w:lang w:val="en-GB"/>
        </w:rPr>
        <w:t>.</w:t>
      </w:r>
      <w:r w:rsidRPr="00ED4758">
        <w:rPr>
          <w:lang w:val="en-GB"/>
        </w:rPr>
        <w:t xml:space="preserve"> 373 as of 24.10.2011.</w:t>
      </w:r>
    </w:p>
    <w:p w14:paraId="27BFC531" w14:textId="77777777" w:rsidR="00B45100" w:rsidRPr="00ED4758" w:rsidRDefault="00B45100" w:rsidP="00BB34F9">
      <w:pPr>
        <w:ind w:firstLine="540"/>
        <w:jc w:val="both"/>
        <w:rPr>
          <w:lang w:val="en-GB"/>
        </w:rPr>
      </w:pPr>
    </w:p>
    <w:p w14:paraId="02FCA160" w14:textId="24D1253C" w:rsidR="00B45100" w:rsidRPr="00ED4758" w:rsidRDefault="00290ACE" w:rsidP="00BB34F9">
      <w:pPr>
        <w:ind w:firstLine="567"/>
        <w:rPr>
          <w:b/>
          <w:lang w:val="en-GB"/>
        </w:rPr>
      </w:pPr>
      <w:r w:rsidRPr="00ED4758">
        <w:rPr>
          <w:b/>
          <w:lang w:val="en-GB"/>
        </w:rPr>
        <w:t>Nature of business</w:t>
      </w:r>
    </w:p>
    <w:p w14:paraId="30C798AC" w14:textId="77777777" w:rsidR="00B45100" w:rsidRPr="00ED4758" w:rsidRDefault="00B45100" w:rsidP="00BB34F9">
      <w:pPr>
        <w:shd w:val="clear" w:color="auto" w:fill="FFFFFF"/>
        <w:ind w:firstLine="567"/>
        <w:jc w:val="both"/>
        <w:rPr>
          <w:i/>
          <w:color w:val="000000"/>
          <w:lang w:val="en-GB"/>
        </w:rPr>
      </w:pPr>
    </w:p>
    <w:p w14:paraId="6D8BDB52" w14:textId="77777777" w:rsidR="00290ACE" w:rsidRPr="00ED4758" w:rsidRDefault="00290ACE" w:rsidP="00290ACE">
      <w:pPr>
        <w:shd w:val="clear" w:color="auto" w:fill="FFFFFF"/>
        <w:ind w:firstLine="567"/>
        <w:jc w:val="both"/>
        <w:rPr>
          <w:i/>
          <w:color w:val="000000"/>
          <w:lang w:val="en-GB"/>
        </w:rPr>
      </w:pPr>
      <w:r w:rsidRPr="00ED4758">
        <w:rPr>
          <w:i/>
          <w:color w:val="000000"/>
          <w:lang w:val="en-GB"/>
        </w:rPr>
        <w:t>Description of the external environment in which the Bank operates</w:t>
      </w:r>
    </w:p>
    <w:p w14:paraId="2969C5BD" w14:textId="77777777" w:rsidR="00290ACE" w:rsidRPr="00ED4758" w:rsidRDefault="00290ACE" w:rsidP="00290ACE">
      <w:pPr>
        <w:shd w:val="clear" w:color="auto" w:fill="FFFFFF"/>
        <w:ind w:firstLine="567"/>
        <w:jc w:val="both"/>
        <w:rPr>
          <w:i/>
          <w:color w:val="000000"/>
          <w:lang w:val="en-GB"/>
        </w:rPr>
      </w:pPr>
    </w:p>
    <w:p w14:paraId="7438CC2F" w14:textId="06CCCBEA" w:rsidR="00B45100" w:rsidRPr="00ED4758" w:rsidRDefault="00290ACE" w:rsidP="00290ACE">
      <w:pPr>
        <w:shd w:val="clear" w:color="auto" w:fill="FFFFFF"/>
        <w:ind w:firstLine="567"/>
        <w:jc w:val="both"/>
        <w:rPr>
          <w:iCs/>
          <w:color w:val="000000"/>
          <w:lang w:val="en-GB"/>
        </w:rPr>
      </w:pPr>
      <w:r w:rsidRPr="00ED4758">
        <w:rPr>
          <w:iCs/>
          <w:color w:val="000000"/>
          <w:lang w:val="en-GB"/>
        </w:rPr>
        <w:t xml:space="preserve">The macroeconomic situation has contributed to the financial stability and strengthening of the financial sector. Due to the slight improvement </w:t>
      </w:r>
      <w:r w:rsidR="00ED4758" w:rsidRPr="00ED4758">
        <w:rPr>
          <w:iCs/>
          <w:color w:val="000000"/>
          <w:lang w:val="en-GB"/>
        </w:rPr>
        <w:t>of</w:t>
      </w:r>
      <w:r w:rsidRPr="00ED4758">
        <w:rPr>
          <w:iCs/>
          <w:color w:val="000000"/>
          <w:lang w:val="en-GB"/>
        </w:rPr>
        <w:t xml:space="preserve"> the economic situation, most credit rating agencies have upgraded Ukraine. This has increased the ability to raise funds </w:t>
      </w:r>
      <w:r w:rsidR="00ED4758" w:rsidRPr="00ED4758">
        <w:rPr>
          <w:iCs/>
          <w:color w:val="000000"/>
          <w:lang w:val="en-GB"/>
        </w:rPr>
        <w:t>in</w:t>
      </w:r>
      <w:r w:rsidRPr="00ED4758">
        <w:rPr>
          <w:iCs/>
          <w:color w:val="000000"/>
          <w:lang w:val="en-GB"/>
        </w:rPr>
        <w:t xml:space="preserve"> the international market, but their cost is still too high. Therefore, cooperation with the IMF and other international financial institutions is critical. The new three-year extended financing program (EFF) worth about $5.5 billion will further reduce the cost of sovereign and corporate borrowing</w:t>
      </w:r>
      <w:r w:rsidR="00ED4758" w:rsidRPr="00ED4758">
        <w:rPr>
          <w:iCs/>
          <w:color w:val="000000"/>
          <w:lang w:val="en-GB"/>
        </w:rPr>
        <w:t>s</w:t>
      </w:r>
      <w:r w:rsidRPr="00ED4758">
        <w:rPr>
          <w:iCs/>
          <w:color w:val="000000"/>
          <w:lang w:val="en-GB"/>
        </w:rPr>
        <w:t xml:space="preserve">. In addition, the IMF cooperation program is not so much about money but is rather an anchor to implement important economic reforms that are occasionally socially unpopular. That is why international investors </w:t>
      </w:r>
      <w:r w:rsidR="00ED4758">
        <w:rPr>
          <w:iCs/>
          <w:color w:val="000000"/>
          <w:lang w:val="en-GB"/>
        </w:rPr>
        <w:t xml:space="preserve">see </w:t>
      </w:r>
      <w:r w:rsidRPr="00ED4758">
        <w:rPr>
          <w:iCs/>
          <w:color w:val="000000"/>
          <w:lang w:val="en-GB"/>
        </w:rPr>
        <w:t xml:space="preserve">the IMF program is a factor of confidence in the country and a confirmation that the reforms are going according to </w:t>
      </w:r>
      <w:r w:rsidR="00ED4758">
        <w:rPr>
          <w:iCs/>
          <w:color w:val="000000"/>
          <w:lang w:val="en-GB"/>
        </w:rPr>
        <w:t xml:space="preserve">the </w:t>
      </w:r>
      <w:r w:rsidRPr="00ED4758">
        <w:rPr>
          <w:iCs/>
          <w:color w:val="000000"/>
          <w:lang w:val="en-GB"/>
        </w:rPr>
        <w:t>plan.</w:t>
      </w:r>
    </w:p>
    <w:p w14:paraId="41FE25C7" w14:textId="77777777" w:rsidR="00B45100" w:rsidRPr="00ED4758" w:rsidRDefault="00B45100" w:rsidP="00BB34F9">
      <w:pPr>
        <w:shd w:val="clear" w:color="auto" w:fill="FFFFFF"/>
        <w:ind w:firstLine="720"/>
        <w:jc w:val="both"/>
        <w:rPr>
          <w:color w:val="000000"/>
          <w:lang w:val="en-GB"/>
        </w:rPr>
      </w:pPr>
    </w:p>
    <w:p w14:paraId="7F1E30B2" w14:textId="47BDE844" w:rsidR="00226A0D" w:rsidRPr="00ED4758" w:rsidRDefault="00290ACE" w:rsidP="00226A0D">
      <w:pPr>
        <w:pStyle w:val="ListParagraph"/>
        <w:shd w:val="clear" w:color="auto" w:fill="FFFFFF"/>
        <w:ind w:left="0" w:firstLine="567"/>
        <w:jc w:val="both"/>
        <w:rPr>
          <w:color w:val="000000"/>
          <w:lang w:val="en-GB" w:eastAsia="uz-Cyrl-UZ"/>
        </w:rPr>
      </w:pPr>
      <w:r w:rsidRPr="00ED4758">
        <w:rPr>
          <w:color w:val="000000"/>
          <w:lang w:val="en-GB" w:eastAsia="uz-Cyrl-UZ"/>
        </w:rPr>
        <w:t xml:space="preserve">During the reporting year the number of solvent banks decreased to 75 as a result of </w:t>
      </w:r>
      <w:r w:rsidR="00226A0D" w:rsidRPr="00ED4758">
        <w:rPr>
          <w:color w:val="000000"/>
          <w:lang w:val="en-GB" w:eastAsia="uz-Cyrl-UZ"/>
        </w:rPr>
        <w:t>the merger of JSC “</w:t>
      </w:r>
      <w:proofErr w:type="spellStart"/>
      <w:r w:rsidRPr="00ED4758">
        <w:rPr>
          <w:color w:val="000000"/>
          <w:lang w:val="en-GB" w:eastAsia="uz-Cyrl-UZ"/>
        </w:rPr>
        <w:t>Ukrsotsbank</w:t>
      </w:r>
      <w:proofErr w:type="spellEnd"/>
      <w:r w:rsidR="00226A0D" w:rsidRPr="00ED4758">
        <w:rPr>
          <w:color w:val="000000"/>
          <w:lang w:val="en-GB" w:eastAsia="uz-Cyrl-UZ"/>
        </w:rPr>
        <w:t>”</w:t>
      </w:r>
      <w:r w:rsidRPr="00ED4758">
        <w:rPr>
          <w:color w:val="000000"/>
          <w:lang w:val="en-GB" w:eastAsia="uz-Cyrl-UZ"/>
        </w:rPr>
        <w:t xml:space="preserve"> </w:t>
      </w:r>
      <w:r w:rsidR="00226A0D" w:rsidRPr="00ED4758">
        <w:rPr>
          <w:color w:val="000000"/>
          <w:lang w:val="en-GB" w:eastAsia="uz-Cyrl-UZ"/>
        </w:rPr>
        <w:t>into</w:t>
      </w:r>
      <w:r w:rsidRPr="00ED4758">
        <w:rPr>
          <w:color w:val="000000"/>
          <w:lang w:val="en-GB" w:eastAsia="uz-Cyrl-UZ"/>
        </w:rPr>
        <w:t xml:space="preserve"> </w:t>
      </w:r>
      <w:r w:rsidR="00226A0D" w:rsidRPr="00ED4758">
        <w:rPr>
          <w:color w:val="000000"/>
          <w:lang w:val="en-GB" w:eastAsia="uz-Cyrl-UZ"/>
        </w:rPr>
        <w:t>JS “</w:t>
      </w:r>
      <w:r w:rsidRPr="00ED4758">
        <w:rPr>
          <w:color w:val="000000"/>
          <w:lang w:val="en-GB" w:eastAsia="uz-Cyrl-UZ"/>
        </w:rPr>
        <w:t>Alfa-Bank</w:t>
      </w:r>
      <w:r w:rsidR="00226A0D" w:rsidRPr="00ED4758">
        <w:rPr>
          <w:color w:val="000000"/>
          <w:lang w:val="en-GB" w:eastAsia="uz-Cyrl-UZ"/>
        </w:rPr>
        <w:t>”</w:t>
      </w:r>
      <w:r w:rsidRPr="00ED4758">
        <w:rPr>
          <w:color w:val="000000"/>
          <w:lang w:val="en-GB" w:eastAsia="uz-Cyrl-UZ"/>
        </w:rPr>
        <w:t xml:space="preserve">. Last year was a success for the banking sector - several historical records were updated. Bank profitability was the highest </w:t>
      </w:r>
      <w:r w:rsidR="00226A0D" w:rsidRPr="00ED4758">
        <w:rPr>
          <w:color w:val="000000"/>
          <w:lang w:val="en-GB" w:eastAsia="uz-Cyrl-UZ"/>
        </w:rPr>
        <w:t>for the whole period of banking sector functioning</w:t>
      </w:r>
      <w:r w:rsidRPr="00ED4758">
        <w:rPr>
          <w:color w:val="000000"/>
          <w:lang w:val="en-GB" w:eastAsia="uz-Cyrl-UZ"/>
        </w:rPr>
        <w:t xml:space="preserve">. Return on Equity (ROE) in the sector reached 34%. </w:t>
      </w:r>
      <w:r w:rsidR="00B23F7D" w:rsidRPr="00ED4758">
        <w:rPr>
          <w:color w:val="000000"/>
          <w:lang w:val="en-GB" w:eastAsia="uz-Cyrl-UZ"/>
        </w:rPr>
        <w:t>The increase</w:t>
      </w:r>
      <w:r w:rsidRPr="00ED4758">
        <w:rPr>
          <w:color w:val="000000"/>
          <w:lang w:val="en-GB" w:eastAsia="uz-Cyrl-UZ"/>
        </w:rPr>
        <w:t xml:space="preserve"> </w:t>
      </w:r>
      <w:r w:rsidR="00226A0D" w:rsidRPr="00ED4758">
        <w:rPr>
          <w:color w:val="000000"/>
          <w:lang w:val="en-GB" w:eastAsia="uz-Cyrl-UZ"/>
        </w:rPr>
        <w:t>became</w:t>
      </w:r>
      <w:r w:rsidRPr="00ED4758">
        <w:rPr>
          <w:color w:val="000000"/>
          <w:lang w:val="en-GB" w:eastAsia="uz-Cyrl-UZ"/>
        </w:rPr>
        <w:t xml:space="preserve"> possible </w:t>
      </w:r>
      <w:r w:rsidR="00226A0D" w:rsidRPr="00ED4758">
        <w:rPr>
          <w:color w:val="000000"/>
          <w:lang w:val="en-GB" w:eastAsia="uz-Cyrl-UZ"/>
        </w:rPr>
        <w:t>due to</w:t>
      </w:r>
      <w:r w:rsidRPr="00ED4758">
        <w:rPr>
          <w:color w:val="000000"/>
          <w:lang w:val="en-GB" w:eastAsia="uz-Cyrl-UZ"/>
        </w:rPr>
        <w:t xml:space="preserve"> rapid increase in operating income </w:t>
      </w:r>
      <w:r w:rsidR="00226A0D" w:rsidRPr="00ED4758">
        <w:rPr>
          <w:color w:val="000000"/>
          <w:lang w:val="en-GB" w:eastAsia="uz-Cyrl-UZ"/>
        </w:rPr>
        <w:t>as well as</w:t>
      </w:r>
      <w:r w:rsidRPr="00ED4758">
        <w:rPr>
          <w:color w:val="000000"/>
          <w:lang w:val="en-GB" w:eastAsia="uz-Cyrl-UZ"/>
        </w:rPr>
        <w:t xml:space="preserve"> </w:t>
      </w:r>
      <w:r w:rsidR="00ED4758">
        <w:rPr>
          <w:color w:val="000000"/>
          <w:lang w:val="en-GB" w:eastAsia="uz-Cyrl-UZ"/>
        </w:rPr>
        <w:t xml:space="preserve">due to </w:t>
      </w:r>
      <w:r w:rsidRPr="00ED4758">
        <w:rPr>
          <w:color w:val="000000"/>
          <w:lang w:val="en-GB" w:eastAsia="uz-Cyrl-UZ"/>
        </w:rPr>
        <w:t xml:space="preserve">the lowest </w:t>
      </w:r>
      <w:r w:rsidR="00226A0D" w:rsidRPr="00ED4758">
        <w:rPr>
          <w:color w:val="000000"/>
          <w:lang w:val="en-GB" w:eastAsia="uz-Cyrl-UZ"/>
        </w:rPr>
        <w:t>in decades allocations</w:t>
      </w:r>
      <w:r w:rsidRPr="00ED4758">
        <w:rPr>
          <w:color w:val="000000"/>
          <w:lang w:val="en-GB" w:eastAsia="uz-Cyrl-UZ"/>
        </w:rPr>
        <w:t xml:space="preserve"> to asset </w:t>
      </w:r>
      <w:r w:rsidR="00226A0D" w:rsidRPr="00ED4758">
        <w:rPr>
          <w:color w:val="000000"/>
          <w:lang w:val="en-GB" w:eastAsia="uz-Cyrl-UZ"/>
        </w:rPr>
        <w:t>provisions.</w:t>
      </w:r>
    </w:p>
    <w:p w14:paraId="5A8E1463" w14:textId="4459940F" w:rsidR="00B23F7D" w:rsidRPr="00ED4758" w:rsidRDefault="00B23F7D" w:rsidP="00B23F7D">
      <w:pPr>
        <w:pStyle w:val="ListParagraph"/>
        <w:shd w:val="clear" w:color="auto" w:fill="FFFFFF"/>
        <w:ind w:left="0" w:firstLine="567"/>
        <w:jc w:val="both"/>
        <w:rPr>
          <w:color w:val="000000"/>
          <w:lang w:val="en-GB" w:eastAsia="uz-Cyrl-UZ"/>
        </w:rPr>
      </w:pPr>
      <w:r w:rsidRPr="00ED4758">
        <w:rPr>
          <w:color w:val="000000"/>
          <w:lang w:val="en-GB" w:eastAsia="uz-Cyrl-UZ"/>
        </w:rPr>
        <w:t xml:space="preserve">In 2019, assets of banks grown significantly. The increase of banks' </w:t>
      </w:r>
      <w:r w:rsidR="001240C1">
        <w:rPr>
          <w:color w:val="000000"/>
          <w:lang w:val="en-GB" w:eastAsia="uz-Cyrl-UZ"/>
        </w:rPr>
        <w:t>investment</w:t>
      </w:r>
      <w:r w:rsidRPr="00ED4758">
        <w:rPr>
          <w:color w:val="000000"/>
          <w:lang w:val="en-GB" w:eastAsia="uz-Cyrl-UZ"/>
        </w:rPr>
        <w:t xml:space="preserve"> in deposit certificates </w:t>
      </w:r>
      <w:r w:rsidR="001240C1">
        <w:rPr>
          <w:color w:val="000000"/>
          <w:lang w:val="en-GB" w:eastAsia="uz-Cyrl-UZ"/>
        </w:rPr>
        <w:t xml:space="preserve">issued by the NBU </w:t>
      </w:r>
      <w:r w:rsidRPr="00ED4758">
        <w:rPr>
          <w:color w:val="000000"/>
          <w:lang w:val="en-GB" w:eastAsia="uz-Cyrl-UZ"/>
        </w:rPr>
        <w:t xml:space="preserve">increased the most to UAH 152.2 billion by the end of 2019. The increase was due to the record flow of funds into </w:t>
      </w:r>
      <w:r w:rsidR="001240C1">
        <w:rPr>
          <w:color w:val="000000"/>
          <w:lang w:val="en-GB" w:eastAsia="uz-Cyrl-UZ"/>
        </w:rPr>
        <w:t xml:space="preserve">business </w:t>
      </w:r>
      <w:r w:rsidRPr="00ED4758">
        <w:rPr>
          <w:color w:val="000000"/>
          <w:lang w:val="en-GB" w:eastAsia="uz-Cyrl-UZ"/>
        </w:rPr>
        <w:t xml:space="preserve">accounts in December (+ UAH 70.7 billion), </w:t>
      </w:r>
      <w:r w:rsidRPr="00ED4758">
        <w:rPr>
          <w:color w:val="000000"/>
          <w:lang w:val="en-GB" w:eastAsia="uz-Cyrl-UZ"/>
        </w:rPr>
        <w:lastRenderedPageBreak/>
        <w:t xml:space="preserve">primarily </w:t>
      </w:r>
      <w:r w:rsidR="001240C1">
        <w:rPr>
          <w:color w:val="000000"/>
          <w:lang w:val="en-GB" w:eastAsia="uz-Cyrl-UZ"/>
        </w:rPr>
        <w:t xml:space="preserve">accounts of </w:t>
      </w:r>
      <w:r w:rsidRPr="00ED4758">
        <w:rPr>
          <w:color w:val="000000"/>
          <w:lang w:val="en-GB" w:eastAsia="uz-Cyrl-UZ"/>
        </w:rPr>
        <w:t>NJSC “Naftogaz of Ukraine”. Amount of cash in circulation, deposits with the NBU and interbank loans also increased.</w:t>
      </w:r>
    </w:p>
    <w:p w14:paraId="35127EAE" w14:textId="5077114E" w:rsidR="00B23F7D" w:rsidRPr="00ED4758" w:rsidRDefault="00B23F7D" w:rsidP="00B23F7D">
      <w:pPr>
        <w:pStyle w:val="ListParagraph"/>
        <w:shd w:val="clear" w:color="auto" w:fill="FFFFFF"/>
        <w:ind w:left="0" w:firstLine="567"/>
        <w:jc w:val="both"/>
        <w:rPr>
          <w:color w:val="000000"/>
          <w:lang w:val="en-GB" w:eastAsia="uz-Cyrl-UZ"/>
        </w:rPr>
      </w:pPr>
      <w:r w:rsidRPr="00ED4758">
        <w:rPr>
          <w:color w:val="000000"/>
          <w:lang w:val="en-GB" w:eastAsia="uz-Cyrl-UZ"/>
        </w:rPr>
        <w:t xml:space="preserve">Net </w:t>
      </w:r>
      <w:r w:rsidR="00D95406">
        <w:rPr>
          <w:color w:val="000000"/>
          <w:lang w:val="en-GB" w:eastAsia="uz-Cyrl-UZ"/>
        </w:rPr>
        <w:t>corporate</w:t>
      </w:r>
      <w:r w:rsidR="001240C1">
        <w:rPr>
          <w:color w:val="000000"/>
          <w:lang w:val="en-GB" w:eastAsia="uz-Cyrl-UZ"/>
        </w:rPr>
        <w:t xml:space="preserve"> </w:t>
      </w:r>
      <w:r w:rsidRPr="00ED4758">
        <w:rPr>
          <w:color w:val="000000"/>
          <w:lang w:val="en-GB" w:eastAsia="uz-Cyrl-UZ"/>
        </w:rPr>
        <w:t xml:space="preserve">loans in </w:t>
      </w:r>
      <w:r w:rsidR="001240C1">
        <w:rPr>
          <w:color w:val="000000"/>
          <w:lang w:val="en-GB" w:eastAsia="uz-Cyrl-UZ"/>
        </w:rPr>
        <w:t>hryvna</w:t>
      </w:r>
      <w:r w:rsidRPr="00ED4758">
        <w:rPr>
          <w:color w:val="000000"/>
          <w:lang w:val="en-GB" w:eastAsia="uz-Cyrl-UZ"/>
        </w:rPr>
        <w:t xml:space="preserve"> decreased by 6.2% per year. Most notably - in state-owned banks (except JSC "</w:t>
      </w:r>
      <w:proofErr w:type="spellStart"/>
      <w:r w:rsidRPr="00ED4758">
        <w:rPr>
          <w:color w:val="000000"/>
          <w:lang w:val="en-GB" w:eastAsia="uz-Cyrl-UZ"/>
        </w:rPr>
        <w:t>Privatbank</w:t>
      </w:r>
      <w:proofErr w:type="spellEnd"/>
      <w:r w:rsidRPr="00ED4758">
        <w:rPr>
          <w:color w:val="000000"/>
          <w:lang w:val="en-GB" w:eastAsia="uz-Cyrl-UZ"/>
        </w:rPr>
        <w:t>") and foreign banks as a result of repayment of loans of state monopolies and subsidiaries of international groups.</w:t>
      </w:r>
    </w:p>
    <w:p w14:paraId="29A23D6B" w14:textId="054AB86A" w:rsidR="00B23F7D" w:rsidRPr="00ED4758" w:rsidRDefault="00B23F7D" w:rsidP="00B23F7D">
      <w:pPr>
        <w:pStyle w:val="ListParagraph"/>
        <w:shd w:val="clear" w:color="auto" w:fill="FFFFFF"/>
        <w:ind w:left="0" w:firstLine="567"/>
        <w:jc w:val="both"/>
        <w:rPr>
          <w:color w:val="000000"/>
          <w:lang w:val="en-GB" w:eastAsia="uz-Cyrl-UZ"/>
        </w:rPr>
      </w:pPr>
      <w:r w:rsidRPr="00ED4758">
        <w:rPr>
          <w:color w:val="000000"/>
          <w:lang w:val="en-GB" w:eastAsia="uz-Cyrl-UZ"/>
        </w:rPr>
        <w:t xml:space="preserve">Net </w:t>
      </w:r>
      <w:r w:rsidR="001240C1">
        <w:rPr>
          <w:color w:val="000000"/>
          <w:lang w:val="en-GB" w:eastAsia="uz-Cyrl-UZ"/>
        </w:rPr>
        <w:t xml:space="preserve">retail </w:t>
      </w:r>
      <w:r w:rsidRPr="00ED4758">
        <w:rPr>
          <w:color w:val="000000"/>
          <w:lang w:val="en-GB" w:eastAsia="uz-Cyrl-UZ"/>
        </w:rPr>
        <w:t xml:space="preserve">loans in </w:t>
      </w:r>
      <w:r w:rsidR="001240C1">
        <w:rPr>
          <w:color w:val="000000"/>
          <w:lang w:val="en-GB" w:eastAsia="uz-Cyrl-UZ"/>
        </w:rPr>
        <w:t>hryvna</w:t>
      </w:r>
      <w:r w:rsidRPr="00ED4758">
        <w:rPr>
          <w:color w:val="000000"/>
          <w:lang w:val="en-GB" w:eastAsia="uz-Cyrl-UZ"/>
        </w:rPr>
        <w:t xml:space="preserve"> increased by 29.8% per year. Most active were private banks, which increased their loan portfolios by 54% per year.</w:t>
      </w:r>
    </w:p>
    <w:p w14:paraId="1CF5AAD6" w14:textId="021671AF" w:rsidR="009324F5" w:rsidRPr="00ED4758" w:rsidRDefault="00B23F7D" w:rsidP="009324F5">
      <w:pPr>
        <w:pStyle w:val="ListParagraph"/>
        <w:shd w:val="clear" w:color="auto" w:fill="FFFFFF"/>
        <w:ind w:left="0" w:firstLine="567"/>
        <w:jc w:val="both"/>
        <w:rPr>
          <w:color w:val="000000"/>
          <w:lang w:val="en-GB" w:eastAsia="uz-Cyrl-UZ"/>
        </w:rPr>
      </w:pPr>
      <w:r w:rsidRPr="00ED4758">
        <w:rPr>
          <w:color w:val="000000"/>
          <w:lang w:val="en-GB" w:eastAsia="uz-Cyrl-UZ"/>
        </w:rPr>
        <w:t xml:space="preserve">The share of non-performing loans decreased by 4.5 pp to 48.4% by the end of 2019. The main factors were the </w:t>
      </w:r>
      <w:r w:rsidR="00E0650E" w:rsidRPr="00ED4758">
        <w:rPr>
          <w:color w:val="000000"/>
          <w:lang w:val="en-GB" w:eastAsia="uz-Cyrl-UZ"/>
        </w:rPr>
        <w:t>issuance</w:t>
      </w:r>
      <w:r w:rsidRPr="00ED4758">
        <w:rPr>
          <w:color w:val="000000"/>
          <w:lang w:val="en-GB" w:eastAsia="uz-Cyrl-UZ"/>
        </w:rPr>
        <w:t xml:space="preserve"> of new </w:t>
      </w:r>
      <w:r w:rsidR="00E0650E">
        <w:rPr>
          <w:color w:val="000000"/>
          <w:lang w:val="en-GB" w:eastAsia="uz-Cyrl-UZ"/>
        </w:rPr>
        <w:t xml:space="preserve">retail </w:t>
      </w:r>
      <w:r w:rsidRPr="00ED4758">
        <w:rPr>
          <w:color w:val="000000"/>
          <w:lang w:val="en-GB" w:eastAsia="uz-Cyrl-UZ"/>
        </w:rPr>
        <w:t xml:space="preserve">loans s and </w:t>
      </w:r>
      <w:r w:rsidR="00E0650E" w:rsidRPr="00ED4758">
        <w:rPr>
          <w:color w:val="000000"/>
          <w:lang w:val="en-GB" w:eastAsia="uz-Cyrl-UZ"/>
        </w:rPr>
        <w:t>writing</w:t>
      </w:r>
      <w:r w:rsidRPr="00ED4758">
        <w:rPr>
          <w:color w:val="000000"/>
          <w:lang w:val="en-GB" w:eastAsia="uz-Cyrl-UZ"/>
        </w:rPr>
        <w:t xml:space="preserve">-off </w:t>
      </w:r>
      <w:r w:rsidR="00E0650E">
        <w:rPr>
          <w:color w:val="000000"/>
          <w:lang w:val="en-GB" w:eastAsia="uz-Cyrl-UZ"/>
        </w:rPr>
        <w:t xml:space="preserve">of </w:t>
      </w:r>
      <w:r w:rsidRPr="00ED4758">
        <w:rPr>
          <w:color w:val="000000"/>
          <w:lang w:val="en-GB" w:eastAsia="uz-Cyrl-UZ"/>
        </w:rPr>
        <w:t xml:space="preserve">non-performing loans </w:t>
      </w:r>
      <w:r w:rsidR="009324F5" w:rsidRPr="00ED4758">
        <w:rPr>
          <w:color w:val="000000"/>
          <w:lang w:val="en-GB" w:eastAsia="uz-Cyrl-UZ"/>
        </w:rPr>
        <w:t>at expense of provisions</w:t>
      </w:r>
      <w:r w:rsidRPr="00ED4758">
        <w:rPr>
          <w:color w:val="000000"/>
          <w:lang w:val="en-GB" w:eastAsia="uz-Cyrl-UZ"/>
        </w:rPr>
        <w:t xml:space="preserve">, which resulted in the share of retail non-performing loans reduced to 34.1% at the end of 2019. The share of non-performing loans in the corporate portfolio </w:t>
      </w:r>
      <w:r w:rsidR="00B46F11">
        <w:rPr>
          <w:color w:val="000000"/>
          <w:lang w:val="en-GB" w:eastAsia="uz-Cyrl-UZ"/>
        </w:rPr>
        <w:t>made</w:t>
      </w:r>
      <w:r w:rsidRPr="00ED4758">
        <w:rPr>
          <w:color w:val="000000"/>
          <w:lang w:val="en-GB" w:eastAsia="uz-Cyrl-UZ"/>
        </w:rPr>
        <w:t xml:space="preserve"> 53.7%. In the corporate segment, state-owned banks restructured a number of loans </w:t>
      </w:r>
      <w:r w:rsidR="00B46F11">
        <w:rPr>
          <w:color w:val="000000"/>
          <w:lang w:val="en-GB" w:eastAsia="uz-Cyrl-UZ"/>
        </w:rPr>
        <w:t>which led to</w:t>
      </w:r>
      <w:r w:rsidRPr="00ED4758">
        <w:rPr>
          <w:color w:val="000000"/>
          <w:lang w:val="en-GB" w:eastAsia="uz-Cyrl-UZ"/>
        </w:rPr>
        <w:t xml:space="preserve"> </w:t>
      </w:r>
      <w:r w:rsidR="00B46F11">
        <w:rPr>
          <w:color w:val="000000"/>
          <w:lang w:val="en-GB" w:eastAsia="uz-Cyrl-UZ"/>
        </w:rPr>
        <w:t>reduction of</w:t>
      </w:r>
      <w:r w:rsidRPr="00ED4758">
        <w:rPr>
          <w:color w:val="000000"/>
          <w:lang w:val="en-GB" w:eastAsia="uz-Cyrl-UZ"/>
        </w:rPr>
        <w:t xml:space="preserve"> the share of non-performing loans in this segment.</w:t>
      </w:r>
    </w:p>
    <w:p w14:paraId="759B0BCB" w14:textId="755E4617" w:rsidR="009324F5" w:rsidRPr="00ED4758" w:rsidRDefault="00B46F11" w:rsidP="009324F5">
      <w:pPr>
        <w:pStyle w:val="ListParagraph"/>
        <w:shd w:val="clear" w:color="auto" w:fill="FFFFFF"/>
        <w:ind w:left="0" w:firstLine="567"/>
        <w:jc w:val="both"/>
        <w:rPr>
          <w:color w:val="000000"/>
          <w:lang w:val="en-GB" w:eastAsia="uz-Cyrl-UZ"/>
        </w:rPr>
      </w:pPr>
      <w:r w:rsidRPr="00ED4758">
        <w:rPr>
          <w:color w:val="000000"/>
          <w:lang w:val="en-GB" w:eastAsia="uz-Cyrl-UZ"/>
        </w:rPr>
        <w:t>Dollari</w:t>
      </w:r>
      <w:r>
        <w:rPr>
          <w:color w:val="000000"/>
          <w:lang w:val="en-GB" w:eastAsia="uz-Cyrl-UZ"/>
        </w:rPr>
        <w:t>z</w:t>
      </w:r>
      <w:r w:rsidRPr="00ED4758">
        <w:rPr>
          <w:color w:val="000000"/>
          <w:lang w:val="en-GB" w:eastAsia="uz-Cyrl-UZ"/>
        </w:rPr>
        <w:t>ation</w:t>
      </w:r>
      <w:r w:rsidR="009324F5" w:rsidRPr="00ED4758">
        <w:rPr>
          <w:color w:val="000000"/>
          <w:lang w:val="en-GB" w:eastAsia="uz-Cyrl-UZ"/>
        </w:rPr>
        <w:t xml:space="preserve"> of </w:t>
      </w:r>
      <w:r>
        <w:rPr>
          <w:color w:val="000000"/>
          <w:lang w:val="en-GB" w:eastAsia="uz-Cyrl-UZ"/>
        </w:rPr>
        <w:t xml:space="preserve">retail </w:t>
      </w:r>
      <w:r w:rsidR="009324F5" w:rsidRPr="00ED4758">
        <w:rPr>
          <w:color w:val="000000"/>
          <w:lang w:val="en-GB" w:eastAsia="uz-Cyrl-UZ"/>
        </w:rPr>
        <w:t>loans decreased to 40.7% on a gross basis due to new retail loans in hryvnia and strengthening of hryvnia. It remained virtually unchanged on a pure basis, accounting for 35.4% at the end of the year.</w:t>
      </w:r>
    </w:p>
    <w:p w14:paraId="575B0B27" w14:textId="19EA2294" w:rsidR="00ED11D5" w:rsidRPr="00ED4758" w:rsidRDefault="009324F5" w:rsidP="00ED11D5">
      <w:pPr>
        <w:pStyle w:val="ListParagraph"/>
        <w:shd w:val="clear" w:color="auto" w:fill="FFFFFF"/>
        <w:ind w:left="0" w:firstLine="567"/>
        <w:jc w:val="both"/>
        <w:rPr>
          <w:color w:val="000000"/>
          <w:lang w:val="en-GB" w:eastAsia="uz-Cyrl-UZ"/>
        </w:rPr>
      </w:pPr>
      <w:r w:rsidRPr="00ED4758">
        <w:rPr>
          <w:color w:val="000000"/>
          <w:lang w:val="en-GB" w:eastAsia="uz-Cyrl-UZ"/>
        </w:rPr>
        <w:t xml:space="preserve">Due to the increase in customer deposits, the share of </w:t>
      </w:r>
      <w:r w:rsidR="00B46F11">
        <w:rPr>
          <w:color w:val="000000"/>
          <w:lang w:val="en-GB" w:eastAsia="uz-Cyrl-UZ"/>
        </w:rPr>
        <w:t>personal</w:t>
      </w:r>
      <w:r w:rsidRPr="00ED4758">
        <w:rPr>
          <w:color w:val="000000"/>
          <w:lang w:val="en-GB" w:eastAsia="uz-Cyrl-UZ"/>
        </w:rPr>
        <w:t xml:space="preserve"> and </w:t>
      </w:r>
      <w:r w:rsidR="00B46F11">
        <w:rPr>
          <w:color w:val="000000"/>
          <w:lang w:val="en-GB" w:eastAsia="uz-Cyrl-UZ"/>
        </w:rPr>
        <w:t>corporate</w:t>
      </w:r>
      <w:r w:rsidRPr="00ED4758">
        <w:rPr>
          <w:color w:val="000000"/>
          <w:lang w:val="en-GB" w:eastAsia="uz-Cyrl-UZ"/>
        </w:rPr>
        <w:t xml:space="preserve"> cash in liabilities rose to 83.3% in the year, which was historically the highest figure. At the end of the year, budget funds fell seasonally, some of the interbank liabilities were repaid by foreign banks.</w:t>
      </w:r>
    </w:p>
    <w:p w14:paraId="56505070" w14:textId="2C977167" w:rsidR="001070D9" w:rsidRPr="00ED4758" w:rsidRDefault="00D95406" w:rsidP="001070D9">
      <w:pPr>
        <w:pStyle w:val="ListParagraph"/>
        <w:shd w:val="clear" w:color="auto" w:fill="FFFFFF"/>
        <w:ind w:left="0" w:firstLine="567"/>
        <w:jc w:val="both"/>
        <w:rPr>
          <w:color w:val="000000"/>
          <w:lang w:val="en-GB" w:eastAsia="uz-Cyrl-UZ"/>
        </w:rPr>
      </w:pPr>
      <w:r>
        <w:rPr>
          <w:color w:val="000000"/>
          <w:lang w:val="en-GB" w:eastAsia="uz-Cyrl-UZ"/>
        </w:rPr>
        <w:t>Corporate</w:t>
      </w:r>
      <w:r w:rsidR="00B46F11">
        <w:rPr>
          <w:color w:val="000000"/>
          <w:lang w:val="en-GB" w:eastAsia="uz-Cyrl-UZ"/>
        </w:rPr>
        <w:t xml:space="preserve"> </w:t>
      </w:r>
      <w:r w:rsidR="00ED11D5" w:rsidRPr="00ED4758">
        <w:rPr>
          <w:color w:val="000000"/>
          <w:lang w:val="en-GB" w:eastAsia="uz-Cyrl-UZ"/>
        </w:rPr>
        <w:t xml:space="preserve">assets </w:t>
      </w:r>
      <w:r>
        <w:rPr>
          <w:color w:val="000000"/>
          <w:lang w:val="en-GB" w:eastAsia="uz-Cyrl-UZ"/>
        </w:rPr>
        <w:t xml:space="preserve">in hryvna </w:t>
      </w:r>
      <w:r w:rsidR="00ED11D5" w:rsidRPr="00ED4758">
        <w:rPr>
          <w:color w:val="000000"/>
          <w:lang w:val="en-GB" w:eastAsia="uz-Cyrl-UZ"/>
        </w:rPr>
        <w:t xml:space="preserve">increased by 19.5% during the year. The highest increase was recorded in state-owned banks - 28.3%. Corporate foreign currency funds increased significantly - 48.4% </w:t>
      </w:r>
      <w:r w:rsidR="00402B4B" w:rsidRPr="00ED4758">
        <w:rPr>
          <w:color w:val="000000"/>
          <w:lang w:val="en-GB" w:eastAsia="uz-Cyrl-UZ"/>
        </w:rPr>
        <w:t>over the year</w:t>
      </w:r>
      <w:r w:rsidR="00ED11D5" w:rsidRPr="00ED4758">
        <w:rPr>
          <w:color w:val="000000"/>
          <w:lang w:val="en-GB" w:eastAsia="uz-Cyrl-UZ"/>
        </w:rPr>
        <w:t xml:space="preserve">. This was due to the growth of foreign currency funds in state-owned banks by 43.8% (+ 109.5% </w:t>
      </w:r>
      <w:r w:rsidR="00B46F11">
        <w:rPr>
          <w:color w:val="000000"/>
          <w:lang w:val="en-GB" w:eastAsia="uz-Cyrl-UZ"/>
        </w:rPr>
        <w:t>p.a.</w:t>
      </w:r>
      <w:r w:rsidR="00ED11D5" w:rsidRPr="00ED4758">
        <w:rPr>
          <w:color w:val="000000"/>
          <w:lang w:val="en-GB" w:eastAsia="uz-Cyrl-UZ"/>
        </w:rPr>
        <w:t>)</w:t>
      </w:r>
      <w:r w:rsidR="00B46F11">
        <w:rPr>
          <w:color w:val="000000"/>
          <w:lang w:val="en-GB" w:eastAsia="uz-Cyrl-UZ"/>
        </w:rPr>
        <w:t xml:space="preserve"> </w:t>
      </w:r>
      <w:r w:rsidR="00B46F11" w:rsidRPr="00ED4758">
        <w:rPr>
          <w:color w:val="000000"/>
          <w:lang w:val="en-GB" w:eastAsia="uz-Cyrl-UZ"/>
        </w:rPr>
        <w:t xml:space="preserve">during the </w:t>
      </w:r>
      <w:r w:rsidR="00B46F11">
        <w:rPr>
          <w:color w:val="000000"/>
          <w:lang w:val="en-GB" w:eastAsia="uz-Cyrl-UZ"/>
        </w:rPr>
        <w:t xml:space="preserve">Q-4 </w:t>
      </w:r>
      <w:r w:rsidR="00B46F11" w:rsidRPr="00ED4758">
        <w:rPr>
          <w:color w:val="000000"/>
          <w:lang w:val="en-GB" w:eastAsia="uz-Cyrl-UZ"/>
        </w:rPr>
        <w:t>2019</w:t>
      </w:r>
      <w:r w:rsidR="00B46F11">
        <w:rPr>
          <w:color w:val="000000"/>
          <w:lang w:val="en-GB" w:eastAsia="uz-Cyrl-UZ"/>
        </w:rPr>
        <w:t>.</w:t>
      </w:r>
      <w:r w:rsidR="00B46F11" w:rsidRPr="00ED4758">
        <w:rPr>
          <w:color w:val="000000"/>
          <w:lang w:val="en-GB" w:eastAsia="uz-Cyrl-UZ"/>
        </w:rPr>
        <w:t xml:space="preserve"> </w:t>
      </w:r>
      <w:r w:rsidR="00ED11D5" w:rsidRPr="00ED4758">
        <w:rPr>
          <w:color w:val="000000"/>
          <w:lang w:val="en-GB" w:eastAsia="uz-Cyrl-UZ"/>
        </w:rPr>
        <w:t>The main factor behind this increase was</w:t>
      </w:r>
      <w:r w:rsidR="001070D9" w:rsidRPr="00ED4758">
        <w:rPr>
          <w:color w:val="000000"/>
          <w:lang w:val="en-GB" w:eastAsia="uz-Cyrl-UZ"/>
        </w:rPr>
        <w:t xml:space="preserve"> receipt by NJSC</w:t>
      </w:r>
      <w:r w:rsidR="00ED11D5" w:rsidRPr="00ED4758">
        <w:rPr>
          <w:color w:val="000000"/>
          <w:lang w:val="en-GB" w:eastAsia="uz-Cyrl-UZ"/>
        </w:rPr>
        <w:t xml:space="preserve"> </w:t>
      </w:r>
      <w:r w:rsidR="001070D9" w:rsidRPr="00ED4758">
        <w:rPr>
          <w:color w:val="000000"/>
          <w:lang w:val="en-GB" w:eastAsia="uz-Cyrl-UZ"/>
        </w:rPr>
        <w:t>“</w:t>
      </w:r>
      <w:r w:rsidR="00ED11D5" w:rsidRPr="00ED4758">
        <w:rPr>
          <w:color w:val="000000"/>
          <w:lang w:val="en-GB" w:eastAsia="uz-Cyrl-UZ"/>
        </w:rPr>
        <w:t>Naftogaz of Ukraine</w:t>
      </w:r>
      <w:r w:rsidR="001070D9" w:rsidRPr="00ED4758">
        <w:rPr>
          <w:color w:val="000000"/>
          <w:lang w:val="en-GB" w:eastAsia="uz-Cyrl-UZ"/>
        </w:rPr>
        <w:t>” of</w:t>
      </w:r>
      <w:r w:rsidR="00ED11D5" w:rsidRPr="00ED4758">
        <w:rPr>
          <w:color w:val="000000"/>
          <w:lang w:val="en-GB" w:eastAsia="uz-Cyrl-UZ"/>
        </w:rPr>
        <w:t xml:space="preserve"> $ 2.9 billion </w:t>
      </w:r>
      <w:r w:rsidR="00B46F11">
        <w:rPr>
          <w:color w:val="000000"/>
          <w:lang w:val="en-GB" w:eastAsia="uz-Cyrl-UZ"/>
        </w:rPr>
        <w:t>under</w:t>
      </w:r>
      <w:r w:rsidR="001070D9" w:rsidRPr="00ED4758">
        <w:rPr>
          <w:color w:val="000000"/>
          <w:lang w:val="en-GB" w:eastAsia="uz-Cyrl-UZ"/>
        </w:rPr>
        <w:t xml:space="preserve"> the</w:t>
      </w:r>
      <w:r w:rsidR="00ED11D5" w:rsidRPr="00ED4758">
        <w:rPr>
          <w:color w:val="000000"/>
          <w:lang w:val="en-GB" w:eastAsia="uz-Cyrl-UZ"/>
        </w:rPr>
        <w:t xml:space="preserve"> decision of the Stockholm Arbitration.</w:t>
      </w:r>
    </w:p>
    <w:p w14:paraId="740FA3F6" w14:textId="32E6B482" w:rsidR="00ED11D5" w:rsidRPr="00ED4758" w:rsidRDefault="00ED11D5" w:rsidP="001070D9">
      <w:pPr>
        <w:pStyle w:val="ListParagraph"/>
        <w:shd w:val="clear" w:color="auto" w:fill="FFFFFF"/>
        <w:ind w:left="0" w:firstLine="567"/>
        <w:jc w:val="both"/>
        <w:rPr>
          <w:color w:val="000000"/>
          <w:lang w:val="en-GB" w:eastAsia="uz-Cyrl-UZ"/>
        </w:rPr>
      </w:pPr>
      <w:r w:rsidRPr="00ED4758">
        <w:rPr>
          <w:color w:val="000000"/>
          <w:lang w:val="en-GB" w:eastAsia="uz-Cyrl-UZ"/>
        </w:rPr>
        <w:t xml:space="preserve">Hryvnia deposits grew by 17.5% </w:t>
      </w:r>
      <w:r w:rsidR="001070D9" w:rsidRPr="00ED4758">
        <w:rPr>
          <w:color w:val="000000"/>
          <w:lang w:val="en-GB" w:eastAsia="uz-Cyrl-UZ"/>
        </w:rPr>
        <w:t>over the year</w:t>
      </w:r>
      <w:r w:rsidRPr="00ED4758">
        <w:rPr>
          <w:color w:val="000000"/>
          <w:lang w:val="en-GB" w:eastAsia="uz-Cyrl-UZ"/>
        </w:rPr>
        <w:t xml:space="preserve"> in all bank groups. Such dynamics are explained by the weakening of devaluation expectations and symbolic interest rates on foreign currency deposits. </w:t>
      </w:r>
      <w:r w:rsidR="001070D9" w:rsidRPr="00ED4758">
        <w:rPr>
          <w:color w:val="000000"/>
          <w:lang w:val="en-GB" w:eastAsia="uz-Cyrl-UZ"/>
        </w:rPr>
        <w:t>USD</w:t>
      </w:r>
      <w:r w:rsidRPr="00ED4758">
        <w:rPr>
          <w:color w:val="000000"/>
          <w:lang w:val="en-GB" w:eastAsia="uz-Cyrl-UZ"/>
        </w:rPr>
        <w:t xml:space="preserve"> </w:t>
      </w:r>
      <w:r w:rsidR="00B46F11">
        <w:rPr>
          <w:color w:val="000000"/>
          <w:lang w:val="en-GB" w:eastAsia="uz-Cyrl-UZ"/>
        </w:rPr>
        <w:t xml:space="preserve">retail </w:t>
      </w:r>
      <w:r w:rsidRPr="00ED4758">
        <w:rPr>
          <w:color w:val="000000"/>
          <w:lang w:val="en-GB" w:eastAsia="uz-Cyrl-UZ"/>
        </w:rPr>
        <w:t xml:space="preserve">deposits increased by 15.4% </w:t>
      </w:r>
      <w:r w:rsidR="001070D9" w:rsidRPr="00ED4758">
        <w:rPr>
          <w:color w:val="000000"/>
          <w:lang w:val="en-GB" w:eastAsia="uz-Cyrl-UZ"/>
        </w:rPr>
        <w:t>over</w:t>
      </w:r>
      <w:r w:rsidRPr="00ED4758">
        <w:rPr>
          <w:color w:val="000000"/>
          <w:lang w:val="en-GB" w:eastAsia="uz-Cyrl-UZ"/>
        </w:rPr>
        <w:t xml:space="preserve"> the year.</w:t>
      </w:r>
    </w:p>
    <w:p w14:paraId="67AE8003" w14:textId="3C007127" w:rsidR="00ED11D5" w:rsidRPr="00ED4758" w:rsidRDefault="00ED11D5" w:rsidP="00ED11D5">
      <w:pPr>
        <w:pStyle w:val="ListParagraph"/>
        <w:shd w:val="clear" w:color="auto" w:fill="FFFFFF"/>
        <w:ind w:left="0" w:firstLine="567"/>
        <w:jc w:val="both"/>
        <w:rPr>
          <w:color w:val="000000"/>
          <w:lang w:val="en-GB" w:eastAsia="uz-Cyrl-UZ"/>
        </w:rPr>
      </w:pPr>
      <w:r w:rsidRPr="00ED4758">
        <w:rPr>
          <w:color w:val="000000"/>
          <w:lang w:val="en-GB" w:eastAsia="uz-Cyrl-UZ"/>
        </w:rPr>
        <w:t xml:space="preserve">The total share of customers' foreign currency liabilities decreased to 39.8%, and without taking into account the receipts of </w:t>
      </w:r>
      <w:r w:rsidR="001070D9" w:rsidRPr="00ED4758">
        <w:rPr>
          <w:color w:val="000000"/>
          <w:lang w:val="en-GB" w:eastAsia="uz-Cyrl-UZ"/>
        </w:rPr>
        <w:t>NJSC “Naftogaz of Ukraine”</w:t>
      </w:r>
      <w:r w:rsidRPr="00ED4758">
        <w:rPr>
          <w:color w:val="000000"/>
          <w:lang w:val="en-GB" w:eastAsia="uz-Cyrl-UZ"/>
        </w:rPr>
        <w:t>, the decrease would be more significant.</w:t>
      </w:r>
    </w:p>
    <w:p w14:paraId="073898CE" w14:textId="48EC0EC9" w:rsidR="001427CF" w:rsidRPr="00ED4758" w:rsidRDefault="001070D9" w:rsidP="00A80374">
      <w:pPr>
        <w:pStyle w:val="ListParagraph"/>
        <w:shd w:val="clear" w:color="auto" w:fill="FFFFFF"/>
        <w:ind w:left="0" w:firstLine="567"/>
        <w:jc w:val="both"/>
        <w:rPr>
          <w:color w:val="000000"/>
          <w:lang w:val="en-GB" w:eastAsia="uz-Cyrl-UZ"/>
        </w:rPr>
      </w:pPr>
      <w:r w:rsidRPr="00ED4758">
        <w:rPr>
          <w:color w:val="000000"/>
          <w:lang w:val="en-GB" w:eastAsia="uz-Cyrl-UZ"/>
        </w:rPr>
        <w:t>During the 2019 the National Ba</w:t>
      </w:r>
      <w:r w:rsidR="00B46F11">
        <w:rPr>
          <w:color w:val="000000"/>
          <w:lang w:val="en-GB" w:eastAsia="uz-Cyrl-UZ"/>
        </w:rPr>
        <w:t>n</w:t>
      </w:r>
      <w:r w:rsidRPr="00ED4758">
        <w:rPr>
          <w:color w:val="000000"/>
          <w:lang w:val="en-GB" w:eastAsia="uz-Cyrl-UZ"/>
        </w:rPr>
        <w:t xml:space="preserve">k of Ukraine </w:t>
      </w:r>
      <w:r w:rsidR="00F90C29" w:rsidRPr="00ED4758">
        <w:rPr>
          <w:color w:val="000000"/>
          <w:lang w:val="en-GB" w:eastAsia="uz-Cyrl-UZ"/>
        </w:rPr>
        <w:t>cut</w:t>
      </w:r>
      <w:r w:rsidRPr="00ED4758">
        <w:rPr>
          <w:color w:val="000000"/>
          <w:lang w:val="en-GB" w:eastAsia="uz-Cyrl-UZ"/>
        </w:rPr>
        <w:t xml:space="preserve"> its interest rate </w:t>
      </w:r>
      <w:r w:rsidR="00F90C29" w:rsidRPr="00ED4758">
        <w:rPr>
          <w:color w:val="000000"/>
          <w:lang w:val="en-GB" w:eastAsia="uz-Cyrl-UZ"/>
        </w:rPr>
        <w:t>for four time</w:t>
      </w:r>
      <w:r w:rsidR="00B46F11">
        <w:rPr>
          <w:color w:val="000000"/>
          <w:lang w:val="en-GB" w:eastAsia="uz-Cyrl-UZ"/>
        </w:rPr>
        <w:t>s</w:t>
      </w:r>
      <w:r w:rsidR="00F90C29" w:rsidRPr="00ED4758">
        <w:rPr>
          <w:color w:val="000000"/>
          <w:lang w:val="en-GB" w:eastAsia="uz-Cyrl-UZ"/>
        </w:rPr>
        <w:t xml:space="preserve"> and lowered it from 18% at the beginning of the year to 13.5% at the end of the year. In January 2020</w:t>
      </w:r>
      <w:r w:rsidR="00B46F11">
        <w:rPr>
          <w:color w:val="000000"/>
          <w:lang w:val="en-GB" w:eastAsia="uz-Cyrl-UZ"/>
        </w:rPr>
        <w:t>,</w:t>
      </w:r>
      <w:r w:rsidR="00F90C29" w:rsidRPr="00ED4758">
        <w:rPr>
          <w:color w:val="000000"/>
          <w:lang w:val="en-GB" w:eastAsia="uz-Cyrl-UZ"/>
        </w:rPr>
        <w:t xml:space="preserve"> the National Bank </w:t>
      </w:r>
      <w:r w:rsidR="00B46F11">
        <w:rPr>
          <w:color w:val="000000"/>
          <w:lang w:val="en-GB" w:eastAsia="uz-Cyrl-UZ"/>
        </w:rPr>
        <w:t>of Ukraine</w:t>
      </w:r>
      <w:r w:rsidR="00F90C29" w:rsidRPr="00ED4758">
        <w:rPr>
          <w:color w:val="000000"/>
          <w:lang w:val="en-GB" w:eastAsia="uz-Cyrl-UZ"/>
        </w:rPr>
        <w:t xml:space="preserve"> repeatedly lowered its interest rate by 2.5 pp down to 11% per year, and in March 2020 – down to 10% per year. </w:t>
      </w:r>
      <w:r w:rsidR="00A80374" w:rsidRPr="00ED4758">
        <w:rPr>
          <w:color w:val="000000"/>
          <w:lang w:val="en-GB" w:eastAsia="uz-Cyrl-UZ"/>
        </w:rPr>
        <w:t xml:space="preserve">Interest rates for </w:t>
      </w:r>
      <w:r w:rsidR="00B46F11">
        <w:rPr>
          <w:color w:val="000000"/>
          <w:lang w:val="en-GB" w:eastAsia="uz-Cyrl-UZ"/>
        </w:rPr>
        <w:t xml:space="preserve">retail </w:t>
      </w:r>
      <w:r w:rsidR="00A80374" w:rsidRPr="00ED4758">
        <w:rPr>
          <w:color w:val="000000"/>
          <w:lang w:val="en-GB" w:eastAsia="uz-Cyrl-UZ"/>
        </w:rPr>
        <w:t>deposits started to low down only in December following the decrease of rates of state banks</w:t>
      </w:r>
      <w:r w:rsidR="001427CF" w:rsidRPr="00ED4758">
        <w:rPr>
          <w:color w:val="000000"/>
          <w:lang w:val="en-GB" w:eastAsia="uz-Cyrl-UZ"/>
        </w:rPr>
        <w:t xml:space="preserve">. </w:t>
      </w:r>
      <w:r w:rsidR="00A80374" w:rsidRPr="00ED4758">
        <w:rPr>
          <w:color w:val="000000"/>
          <w:lang w:val="en-GB" w:eastAsia="uz-Cyrl-UZ"/>
        </w:rPr>
        <w:t>During the year</w:t>
      </w:r>
      <w:r w:rsidR="00B46F11">
        <w:rPr>
          <w:color w:val="000000"/>
          <w:lang w:val="en-GB" w:eastAsia="uz-Cyrl-UZ"/>
        </w:rPr>
        <w:t>,</w:t>
      </w:r>
      <w:r w:rsidR="00A80374" w:rsidRPr="00ED4758">
        <w:rPr>
          <w:color w:val="000000"/>
          <w:lang w:val="en-GB" w:eastAsia="uz-Cyrl-UZ"/>
        </w:rPr>
        <w:t xml:space="preserve"> state banks were maintaining deposit interest rate at high level due to inertia in managing liabilities and assets as well as legal risks in the light of JSC “</w:t>
      </w:r>
      <w:proofErr w:type="spellStart"/>
      <w:r w:rsidR="00A80374" w:rsidRPr="00ED4758">
        <w:rPr>
          <w:color w:val="000000"/>
          <w:lang w:val="en-GB" w:eastAsia="uz-Cyrl-UZ"/>
        </w:rPr>
        <w:t>Privatbank</w:t>
      </w:r>
      <w:proofErr w:type="spellEnd"/>
      <w:r w:rsidR="00A80374" w:rsidRPr="00ED4758">
        <w:rPr>
          <w:color w:val="000000"/>
          <w:lang w:val="en-GB" w:eastAsia="uz-Cyrl-UZ"/>
        </w:rPr>
        <w:t>” case. In Q</w:t>
      </w:r>
      <w:r w:rsidR="00B46F11">
        <w:rPr>
          <w:color w:val="000000"/>
          <w:lang w:val="en-GB" w:eastAsia="uz-Cyrl-UZ"/>
        </w:rPr>
        <w:t>-</w:t>
      </w:r>
      <w:r w:rsidR="00A80374" w:rsidRPr="00ED4758">
        <w:rPr>
          <w:color w:val="000000"/>
          <w:lang w:val="en-GB" w:eastAsia="uz-Cyrl-UZ"/>
        </w:rPr>
        <w:t xml:space="preserve">4 2019 the value of 12-month hryvna </w:t>
      </w:r>
      <w:r w:rsidR="00B46F11">
        <w:rPr>
          <w:color w:val="000000"/>
          <w:lang w:val="en-GB" w:eastAsia="uz-Cyrl-UZ"/>
        </w:rPr>
        <w:t xml:space="preserve">retail </w:t>
      </w:r>
      <w:r w:rsidR="00A80374" w:rsidRPr="00ED4758">
        <w:rPr>
          <w:color w:val="000000"/>
          <w:lang w:val="en-GB" w:eastAsia="uz-Cyrl-UZ"/>
        </w:rPr>
        <w:t xml:space="preserve">deposits lowered by </w:t>
      </w:r>
      <w:r w:rsidR="001427CF" w:rsidRPr="00ED4758">
        <w:rPr>
          <w:color w:val="000000"/>
          <w:lang w:val="en-GB" w:eastAsia="uz-Cyrl-UZ"/>
        </w:rPr>
        <w:t>0</w:t>
      </w:r>
      <w:r w:rsidR="00A80374" w:rsidRPr="00ED4758">
        <w:rPr>
          <w:color w:val="000000"/>
          <w:lang w:val="en-GB" w:eastAsia="uz-Cyrl-UZ"/>
        </w:rPr>
        <w:t>.</w:t>
      </w:r>
      <w:r w:rsidR="001427CF" w:rsidRPr="00ED4758">
        <w:rPr>
          <w:color w:val="000000"/>
          <w:lang w:val="en-GB" w:eastAsia="uz-Cyrl-UZ"/>
        </w:rPr>
        <w:t xml:space="preserve">7 </w:t>
      </w:r>
      <w:r w:rsidR="00A80374" w:rsidRPr="00ED4758">
        <w:rPr>
          <w:color w:val="000000"/>
          <w:lang w:val="en-GB" w:eastAsia="uz-Cyrl-UZ"/>
        </w:rPr>
        <w:t>pp</w:t>
      </w:r>
      <w:r w:rsidR="001427CF" w:rsidRPr="00ED4758">
        <w:rPr>
          <w:color w:val="000000"/>
          <w:lang w:val="en-GB" w:eastAsia="uz-Cyrl-UZ"/>
        </w:rPr>
        <w:t xml:space="preserve"> </w:t>
      </w:r>
      <w:r w:rsidR="00A80374" w:rsidRPr="00ED4758">
        <w:rPr>
          <w:color w:val="000000"/>
          <w:lang w:val="en-GB" w:eastAsia="uz-Cyrl-UZ"/>
        </w:rPr>
        <w:t>to</w:t>
      </w:r>
      <w:r w:rsidR="001427CF" w:rsidRPr="00ED4758">
        <w:rPr>
          <w:color w:val="000000"/>
          <w:lang w:val="en-GB" w:eastAsia="uz-Cyrl-UZ"/>
        </w:rPr>
        <w:t xml:space="preserve"> 15</w:t>
      </w:r>
      <w:r w:rsidR="00A80374" w:rsidRPr="00ED4758">
        <w:rPr>
          <w:color w:val="000000"/>
          <w:lang w:val="en-GB" w:eastAsia="uz-Cyrl-UZ"/>
        </w:rPr>
        <w:t>.</w:t>
      </w:r>
      <w:r w:rsidR="001427CF" w:rsidRPr="00ED4758">
        <w:rPr>
          <w:color w:val="000000"/>
          <w:lang w:val="en-GB" w:eastAsia="uz-Cyrl-UZ"/>
        </w:rPr>
        <w:t xml:space="preserve">1% </w:t>
      </w:r>
      <w:r w:rsidR="00A80374" w:rsidRPr="00ED4758">
        <w:rPr>
          <w:color w:val="000000"/>
          <w:lang w:val="en-GB" w:eastAsia="uz-Cyrl-UZ"/>
        </w:rPr>
        <w:t>per year</w:t>
      </w:r>
      <w:r w:rsidR="001427CF" w:rsidRPr="00ED4758">
        <w:rPr>
          <w:color w:val="000000"/>
          <w:lang w:val="en-GB" w:eastAsia="uz-Cyrl-UZ"/>
        </w:rPr>
        <w:t xml:space="preserve">, </w:t>
      </w:r>
      <w:r w:rsidR="00A80374" w:rsidRPr="00ED4758">
        <w:rPr>
          <w:color w:val="000000"/>
          <w:lang w:val="en-GB" w:eastAsia="uz-Cyrl-UZ"/>
        </w:rPr>
        <w:t>and in January</w:t>
      </w:r>
      <w:r w:rsidR="001427CF" w:rsidRPr="00ED4758">
        <w:rPr>
          <w:color w:val="000000"/>
          <w:lang w:val="en-GB" w:eastAsia="uz-Cyrl-UZ"/>
        </w:rPr>
        <w:t xml:space="preserve"> 2020</w:t>
      </w:r>
      <w:r w:rsidR="00A80374" w:rsidRPr="00ED4758">
        <w:rPr>
          <w:color w:val="000000"/>
          <w:lang w:val="en-GB" w:eastAsia="uz-Cyrl-UZ"/>
        </w:rPr>
        <w:t xml:space="preserve"> </w:t>
      </w:r>
      <w:r w:rsidR="001427CF" w:rsidRPr="00ED4758">
        <w:rPr>
          <w:color w:val="000000"/>
          <w:lang w:val="en-GB" w:eastAsia="uz-Cyrl-UZ"/>
        </w:rPr>
        <w:t xml:space="preserve">– </w:t>
      </w:r>
      <w:r w:rsidR="00A80374" w:rsidRPr="00ED4758">
        <w:rPr>
          <w:color w:val="000000"/>
          <w:lang w:val="en-GB" w:eastAsia="uz-Cyrl-UZ"/>
        </w:rPr>
        <w:t xml:space="preserve">down by another </w:t>
      </w:r>
      <w:r w:rsidR="001427CF" w:rsidRPr="00ED4758">
        <w:rPr>
          <w:color w:val="000000"/>
          <w:lang w:val="en-GB" w:eastAsia="uz-Cyrl-UZ"/>
        </w:rPr>
        <w:t>1</w:t>
      </w:r>
      <w:r w:rsidR="00A80374" w:rsidRPr="00ED4758">
        <w:rPr>
          <w:color w:val="000000"/>
          <w:lang w:val="en-GB" w:eastAsia="uz-Cyrl-UZ"/>
        </w:rPr>
        <w:t>.</w:t>
      </w:r>
      <w:r w:rsidR="001427CF" w:rsidRPr="00ED4758">
        <w:rPr>
          <w:color w:val="000000"/>
          <w:lang w:val="en-GB" w:eastAsia="uz-Cyrl-UZ"/>
        </w:rPr>
        <w:t xml:space="preserve">1 </w:t>
      </w:r>
      <w:r w:rsidR="00A80374" w:rsidRPr="00ED4758">
        <w:rPr>
          <w:color w:val="000000"/>
          <w:lang w:val="en-GB" w:eastAsia="uz-Cyrl-UZ"/>
        </w:rPr>
        <w:t>pp</w:t>
      </w:r>
      <w:r w:rsidR="001427CF" w:rsidRPr="00ED4758">
        <w:rPr>
          <w:color w:val="000000"/>
          <w:lang w:val="en-GB" w:eastAsia="uz-Cyrl-UZ"/>
        </w:rPr>
        <w:t xml:space="preserve">., </w:t>
      </w:r>
      <w:r w:rsidR="00A80374" w:rsidRPr="00ED4758">
        <w:rPr>
          <w:color w:val="000000"/>
          <w:lang w:val="en-GB" w:eastAsia="uz-Cyrl-UZ"/>
        </w:rPr>
        <w:t xml:space="preserve">and in the first week of February </w:t>
      </w:r>
      <w:r w:rsidR="00B46F11">
        <w:rPr>
          <w:color w:val="000000"/>
          <w:lang w:val="en-GB" w:eastAsia="uz-Cyrl-UZ"/>
        </w:rPr>
        <w:t>continued</w:t>
      </w:r>
      <w:r w:rsidR="008908F2" w:rsidRPr="00ED4758">
        <w:rPr>
          <w:color w:val="000000"/>
          <w:lang w:val="en-GB" w:eastAsia="uz-Cyrl-UZ"/>
        </w:rPr>
        <w:t xml:space="preserve"> lowering by 1.0 pp – down to 13.0% per year. Over 2019 the value of 12-month USD </w:t>
      </w:r>
      <w:r w:rsidR="00B46F11">
        <w:rPr>
          <w:color w:val="000000"/>
          <w:lang w:val="en-GB" w:eastAsia="uz-Cyrl-UZ"/>
        </w:rPr>
        <w:t xml:space="preserve">retail </w:t>
      </w:r>
      <w:r w:rsidR="008908F2" w:rsidRPr="00ED4758">
        <w:rPr>
          <w:color w:val="000000"/>
          <w:lang w:val="en-GB" w:eastAsia="uz-Cyrl-UZ"/>
        </w:rPr>
        <w:t>deposits lowered down to 2.6% and by another 0.7 pp in the current year. During Q</w:t>
      </w:r>
      <w:r w:rsidR="00B46F11">
        <w:rPr>
          <w:color w:val="000000"/>
          <w:lang w:val="en-GB" w:eastAsia="uz-Cyrl-UZ"/>
        </w:rPr>
        <w:t>-</w:t>
      </w:r>
      <w:r w:rsidR="008908F2" w:rsidRPr="00ED4758">
        <w:rPr>
          <w:color w:val="000000"/>
          <w:lang w:val="en-GB" w:eastAsia="uz-Cyrl-UZ"/>
        </w:rPr>
        <w:t xml:space="preserve">4 2019 corporate funds in UAH fell by 2.7 pp to 10.3% per </w:t>
      </w:r>
      <w:r w:rsidR="00B46F11" w:rsidRPr="00ED4758">
        <w:rPr>
          <w:color w:val="000000"/>
          <w:lang w:val="en-GB" w:eastAsia="uz-Cyrl-UZ"/>
        </w:rPr>
        <w:t>year</w:t>
      </w:r>
      <w:r w:rsidR="008908F2" w:rsidRPr="00ED4758">
        <w:rPr>
          <w:color w:val="000000"/>
          <w:lang w:val="en-GB" w:eastAsia="uz-Cyrl-UZ"/>
        </w:rPr>
        <w:t xml:space="preserve">. </w:t>
      </w:r>
    </w:p>
    <w:p w14:paraId="6897DDBC" w14:textId="3D9693A5" w:rsidR="00751AD5" w:rsidRPr="00ED4758" w:rsidRDefault="00751AD5" w:rsidP="00BB34F9">
      <w:pPr>
        <w:pStyle w:val="ListParagraph"/>
        <w:shd w:val="clear" w:color="auto" w:fill="FFFFFF"/>
        <w:ind w:left="0" w:firstLine="567"/>
        <w:jc w:val="both"/>
        <w:rPr>
          <w:color w:val="000000"/>
          <w:lang w:val="en-GB" w:eastAsia="uz-Cyrl-UZ"/>
        </w:rPr>
      </w:pPr>
      <w:r w:rsidRPr="00ED4758">
        <w:rPr>
          <w:color w:val="000000"/>
          <w:lang w:val="en-GB" w:eastAsia="uz-Cyrl-UZ"/>
        </w:rPr>
        <w:t xml:space="preserve">The reduction in the interest rate contributed to a considerable decrease in the price of hryvnia </w:t>
      </w:r>
      <w:r w:rsidR="00D95406">
        <w:rPr>
          <w:color w:val="000000"/>
          <w:lang w:val="en-GB" w:eastAsia="uz-Cyrl-UZ"/>
        </w:rPr>
        <w:t xml:space="preserve">corporate </w:t>
      </w:r>
      <w:r w:rsidRPr="00ED4758">
        <w:rPr>
          <w:color w:val="000000"/>
          <w:lang w:val="en-GB" w:eastAsia="uz-Cyrl-UZ"/>
        </w:rPr>
        <w:t>loans ness down to 15.7% per annum. The cost of hryvnia</w:t>
      </w:r>
      <w:r w:rsidR="00D95406">
        <w:rPr>
          <w:color w:val="000000"/>
          <w:lang w:val="en-GB" w:eastAsia="uz-Cyrl-UZ"/>
        </w:rPr>
        <w:t xml:space="preserve"> retail</w:t>
      </w:r>
      <w:r w:rsidRPr="00ED4758">
        <w:rPr>
          <w:color w:val="000000"/>
          <w:lang w:val="en-GB" w:eastAsia="uz-Cyrl-UZ"/>
        </w:rPr>
        <w:t xml:space="preserve"> loans decreased to 33.6% per annum. In December 2019, </w:t>
      </w:r>
      <w:r w:rsidR="00D95406" w:rsidRPr="00ED4758">
        <w:rPr>
          <w:color w:val="000000"/>
          <w:lang w:val="en-GB" w:eastAsia="uz-Cyrl-UZ"/>
        </w:rPr>
        <w:t>interest</w:t>
      </w:r>
      <w:r w:rsidRPr="00ED4758">
        <w:rPr>
          <w:color w:val="000000"/>
          <w:lang w:val="en-GB" w:eastAsia="uz-Cyrl-UZ"/>
        </w:rPr>
        <w:t xml:space="preserve"> rates on foreign currency</w:t>
      </w:r>
      <w:r w:rsidR="00D95406">
        <w:rPr>
          <w:color w:val="000000"/>
          <w:lang w:val="en-GB" w:eastAsia="uz-Cyrl-UZ"/>
        </w:rPr>
        <w:t xml:space="preserve"> corporate</w:t>
      </w:r>
      <w:r w:rsidRPr="00ED4758">
        <w:rPr>
          <w:color w:val="000000"/>
          <w:lang w:val="en-GB" w:eastAsia="uz-Cyrl-UZ"/>
        </w:rPr>
        <w:t xml:space="preserve"> loans were at their lowest - 4.6% per annum.</w:t>
      </w:r>
    </w:p>
    <w:p w14:paraId="5EF4FD7F" w14:textId="46C9FB1A" w:rsidR="00751AD5" w:rsidRPr="00ED4758" w:rsidRDefault="00751AD5" w:rsidP="00BB34F9">
      <w:pPr>
        <w:pStyle w:val="ListParagraph"/>
        <w:shd w:val="clear" w:color="auto" w:fill="FFFFFF"/>
        <w:ind w:left="0" w:firstLine="567"/>
        <w:jc w:val="both"/>
        <w:rPr>
          <w:color w:val="000000"/>
          <w:lang w:val="en-GB" w:eastAsia="uz-Cyrl-UZ"/>
        </w:rPr>
      </w:pPr>
      <w:r w:rsidRPr="00ED4758">
        <w:rPr>
          <w:color w:val="000000"/>
          <w:lang w:val="en-GB" w:eastAsia="uz-Cyrl-UZ"/>
        </w:rPr>
        <w:t xml:space="preserve">Allocation to the banking sector </w:t>
      </w:r>
      <w:r w:rsidR="00434B7C" w:rsidRPr="00ED4758">
        <w:rPr>
          <w:color w:val="000000"/>
          <w:lang w:val="en-GB" w:eastAsia="uz-Cyrl-UZ"/>
        </w:rPr>
        <w:t>provisions</w:t>
      </w:r>
      <w:r w:rsidRPr="00ED4758">
        <w:rPr>
          <w:color w:val="000000"/>
          <w:lang w:val="en-GB" w:eastAsia="uz-Cyrl-UZ"/>
        </w:rPr>
        <w:t xml:space="preserve"> for the year decreased by 50.1% to UAH 12.5 billion, which is the lowest value in the last 10 years. </w:t>
      </w:r>
      <w:r w:rsidR="00D95406">
        <w:rPr>
          <w:color w:val="000000"/>
          <w:lang w:val="en-GB" w:eastAsia="uz-Cyrl-UZ"/>
        </w:rPr>
        <w:t>T</w:t>
      </w:r>
      <w:r w:rsidRPr="00ED4758">
        <w:rPr>
          <w:color w:val="000000"/>
          <w:lang w:val="en-GB" w:eastAsia="uz-Cyrl-UZ"/>
        </w:rPr>
        <w:t xml:space="preserve">he banks with significant contributions to the reserves </w:t>
      </w:r>
      <w:r w:rsidR="00D95406">
        <w:rPr>
          <w:color w:val="000000"/>
          <w:lang w:val="en-GB" w:eastAsia="uz-Cyrl-UZ"/>
        </w:rPr>
        <w:t>included</w:t>
      </w:r>
      <w:r w:rsidRPr="00ED4758">
        <w:rPr>
          <w:color w:val="000000"/>
          <w:lang w:val="en-GB" w:eastAsia="uz-Cyrl-UZ"/>
        </w:rPr>
        <w:t xml:space="preserve"> two state-owned banks and one bank with Russian capital. Out of 75 banks, 29 institutions </w:t>
      </w:r>
      <w:r w:rsidRPr="00ED4758">
        <w:rPr>
          <w:color w:val="000000"/>
          <w:lang w:val="en-GB" w:eastAsia="uz-Cyrl-UZ"/>
        </w:rPr>
        <w:lastRenderedPageBreak/>
        <w:t xml:space="preserve">disbanded </w:t>
      </w:r>
      <w:r w:rsidR="00434B7C" w:rsidRPr="00ED4758">
        <w:rPr>
          <w:color w:val="000000"/>
          <w:lang w:val="en-GB" w:eastAsia="uz-Cyrl-UZ"/>
        </w:rPr>
        <w:t>their provisions</w:t>
      </w:r>
      <w:r w:rsidRPr="00ED4758">
        <w:rPr>
          <w:color w:val="000000"/>
          <w:lang w:val="en-GB" w:eastAsia="uz-Cyrl-UZ"/>
        </w:rPr>
        <w:t xml:space="preserve"> as a result of the year, but the total amount of disbanding amounted to only UAH 0.7 billion.</w:t>
      </w:r>
    </w:p>
    <w:p w14:paraId="2B1F37B3" w14:textId="3A96501B" w:rsidR="00434B7C" w:rsidRPr="00ED4758" w:rsidRDefault="00434B7C" w:rsidP="00BB34F9">
      <w:pPr>
        <w:pStyle w:val="ListParagraph"/>
        <w:shd w:val="clear" w:color="auto" w:fill="FFFFFF"/>
        <w:ind w:left="0" w:firstLine="567"/>
        <w:jc w:val="both"/>
        <w:rPr>
          <w:color w:val="000000"/>
          <w:lang w:val="en-GB" w:eastAsia="uz-Cyrl-UZ"/>
        </w:rPr>
      </w:pPr>
      <w:r w:rsidRPr="00ED4758">
        <w:rPr>
          <w:color w:val="000000"/>
          <w:lang w:val="en-GB" w:eastAsia="uz-Cyrl-UZ"/>
        </w:rPr>
        <w:t>In 2019 the profit of the banking sector was 2.7 times higher than in 2018, amounting to UAH 59.6 billion. More than half of the sector's profit were generated by JSC “</w:t>
      </w:r>
      <w:proofErr w:type="spellStart"/>
      <w:r w:rsidRPr="00ED4758">
        <w:rPr>
          <w:color w:val="000000"/>
          <w:lang w:val="en-GB" w:eastAsia="uz-Cyrl-UZ"/>
        </w:rPr>
        <w:t>Privatbank</w:t>
      </w:r>
      <w:proofErr w:type="spellEnd"/>
      <w:r w:rsidRPr="00ED4758">
        <w:rPr>
          <w:color w:val="000000"/>
          <w:lang w:val="en-GB" w:eastAsia="uz-Cyrl-UZ"/>
        </w:rPr>
        <w:t>”. Only 6 of 75 operating banks were unprofitable, with a total loss of UAH 0.2 billion.</w:t>
      </w:r>
    </w:p>
    <w:p w14:paraId="338BF426" w14:textId="5152C344" w:rsidR="009E12F0" w:rsidRPr="00ED4758" w:rsidRDefault="009E12F0" w:rsidP="00BB34F9">
      <w:pPr>
        <w:pStyle w:val="ListParagraph"/>
        <w:shd w:val="clear" w:color="auto" w:fill="FFFFFF"/>
        <w:ind w:left="0" w:firstLine="567"/>
        <w:jc w:val="both"/>
        <w:rPr>
          <w:color w:val="000000"/>
          <w:lang w:val="en-GB" w:eastAsia="uz-Cyrl-UZ"/>
        </w:rPr>
      </w:pPr>
      <w:r w:rsidRPr="00ED4758">
        <w:rPr>
          <w:color w:val="000000"/>
          <w:lang w:val="en-GB" w:eastAsia="uz-Cyrl-UZ"/>
        </w:rPr>
        <w:t xml:space="preserve">The banking system is now accustoming to operating at low interest rates. Rates on </w:t>
      </w:r>
      <w:r w:rsidR="00D95406">
        <w:rPr>
          <w:color w:val="000000"/>
          <w:lang w:val="en-GB" w:eastAsia="uz-Cyrl-UZ"/>
        </w:rPr>
        <w:t>individual</w:t>
      </w:r>
      <w:r w:rsidRPr="00ED4758">
        <w:rPr>
          <w:color w:val="000000"/>
          <w:lang w:val="en-GB" w:eastAsia="uz-Cyrl-UZ"/>
        </w:rPr>
        <w:t xml:space="preserve"> deposits </w:t>
      </w:r>
      <w:r w:rsidR="00D95406">
        <w:rPr>
          <w:color w:val="000000"/>
          <w:lang w:val="en-GB" w:eastAsia="uz-Cyrl-UZ"/>
        </w:rPr>
        <w:t xml:space="preserve">were </w:t>
      </w:r>
      <w:r w:rsidRPr="00ED4758">
        <w:rPr>
          <w:color w:val="000000"/>
          <w:lang w:val="en-GB" w:eastAsia="uz-Cyrl-UZ"/>
        </w:rPr>
        <w:t>declin</w:t>
      </w:r>
      <w:r w:rsidR="00D95406">
        <w:rPr>
          <w:color w:val="000000"/>
          <w:lang w:val="en-GB" w:eastAsia="uz-Cyrl-UZ"/>
        </w:rPr>
        <w:t>ing</w:t>
      </w:r>
      <w:r w:rsidRPr="00ED4758">
        <w:rPr>
          <w:color w:val="000000"/>
          <w:lang w:val="en-GB" w:eastAsia="uz-Cyrl-UZ"/>
        </w:rPr>
        <w:t xml:space="preserve"> substantially in December-February, following the decision of the major banks to reduce the value of their deposits. However, </w:t>
      </w:r>
      <w:r w:rsidR="00976F1E">
        <w:rPr>
          <w:color w:val="000000"/>
          <w:lang w:val="en-GB" w:eastAsia="uz-Cyrl-UZ"/>
        </w:rPr>
        <w:t>loan</w:t>
      </w:r>
      <w:r w:rsidRPr="00ED4758">
        <w:rPr>
          <w:color w:val="000000"/>
          <w:lang w:val="en-GB" w:eastAsia="uz-Cyrl-UZ"/>
        </w:rPr>
        <w:t xml:space="preserve"> interest rates </w:t>
      </w:r>
      <w:r w:rsidR="00D95406">
        <w:rPr>
          <w:color w:val="000000"/>
          <w:lang w:val="en-GB" w:eastAsia="uz-Cyrl-UZ"/>
        </w:rPr>
        <w:t>fell</w:t>
      </w:r>
      <w:r w:rsidRPr="00ED4758">
        <w:rPr>
          <w:color w:val="000000"/>
          <w:lang w:val="en-GB" w:eastAsia="uz-Cyrl-UZ"/>
        </w:rPr>
        <w:t xml:space="preserve"> even further, which has lowered the spread, and which</w:t>
      </w:r>
      <w:r w:rsidR="00FB6DC3" w:rsidRPr="00ED4758">
        <w:rPr>
          <w:color w:val="000000"/>
          <w:lang w:val="en-GB" w:eastAsia="uz-Cyrl-UZ"/>
        </w:rPr>
        <w:t xml:space="preserve"> can</w:t>
      </w:r>
      <w:r w:rsidRPr="00ED4758">
        <w:rPr>
          <w:color w:val="000000"/>
          <w:lang w:val="en-GB" w:eastAsia="uz-Cyrl-UZ"/>
        </w:rPr>
        <w:t xml:space="preserve"> reduce the sector's profitability in the medium term.</w:t>
      </w:r>
    </w:p>
    <w:p w14:paraId="24CEC8FB" w14:textId="7FB063BA" w:rsidR="00FB6DC3" w:rsidRPr="00ED4758" w:rsidRDefault="00FB6DC3" w:rsidP="00BB34F9">
      <w:pPr>
        <w:pStyle w:val="ListParagraph"/>
        <w:shd w:val="clear" w:color="auto" w:fill="FFFFFF"/>
        <w:ind w:left="0" w:firstLine="567"/>
        <w:jc w:val="both"/>
        <w:rPr>
          <w:color w:val="000000"/>
          <w:lang w:val="en-GB" w:eastAsia="uz-Cyrl-UZ"/>
        </w:rPr>
      </w:pPr>
      <w:r w:rsidRPr="00ED4758">
        <w:rPr>
          <w:color w:val="000000"/>
          <w:lang w:val="en-GB" w:eastAsia="uz-Cyrl-UZ"/>
        </w:rPr>
        <w:t>Growth rates of funds of population are likely to remain at the level of the previous year, despite a significant decrease in deposit interest rates. This will be associated with both an increase in current account balances and an increase in fixed-term deposits.</w:t>
      </w:r>
    </w:p>
    <w:p w14:paraId="6FCD7EF1" w14:textId="520A9F58" w:rsidR="00FB6DC3" w:rsidRPr="00ED4758" w:rsidRDefault="00FB6DC3" w:rsidP="00BB34F9">
      <w:pPr>
        <w:pStyle w:val="ListParagraph"/>
        <w:shd w:val="clear" w:color="auto" w:fill="FFFFFF"/>
        <w:ind w:left="0" w:firstLine="567"/>
        <w:jc w:val="both"/>
        <w:rPr>
          <w:color w:val="000000"/>
          <w:lang w:val="en-GB" w:eastAsia="uz-Cyrl-UZ"/>
        </w:rPr>
      </w:pPr>
      <w:r w:rsidRPr="00ED4758">
        <w:rPr>
          <w:color w:val="000000"/>
          <w:lang w:val="en-GB" w:eastAsia="uz-Cyrl-UZ"/>
        </w:rPr>
        <w:t xml:space="preserve">The growth rates of retail </w:t>
      </w:r>
      <w:r w:rsidR="00EB528A" w:rsidRPr="00ED4758">
        <w:rPr>
          <w:color w:val="000000"/>
          <w:lang w:val="en-GB" w:eastAsia="uz-Cyrl-UZ"/>
        </w:rPr>
        <w:t xml:space="preserve">consumer </w:t>
      </w:r>
      <w:r w:rsidRPr="00ED4758">
        <w:rPr>
          <w:color w:val="000000"/>
          <w:lang w:val="en-GB" w:eastAsia="uz-Cyrl-UZ"/>
        </w:rPr>
        <w:t xml:space="preserve">loans </w:t>
      </w:r>
      <w:r w:rsidR="00EB528A" w:rsidRPr="00ED4758">
        <w:rPr>
          <w:color w:val="000000"/>
          <w:lang w:val="en-GB" w:eastAsia="uz-Cyrl-UZ"/>
        </w:rPr>
        <w:t>will</w:t>
      </w:r>
      <w:r w:rsidRPr="00ED4758">
        <w:rPr>
          <w:color w:val="000000"/>
          <w:lang w:val="en-GB" w:eastAsia="uz-Cyrl-UZ"/>
        </w:rPr>
        <w:t xml:space="preserve"> </w:t>
      </w:r>
      <w:r w:rsidR="00EB528A" w:rsidRPr="00ED4758">
        <w:rPr>
          <w:color w:val="000000"/>
          <w:lang w:val="en-GB" w:eastAsia="uz-Cyrl-UZ"/>
        </w:rPr>
        <w:t>low down</w:t>
      </w:r>
      <w:r w:rsidRPr="00ED4758">
        <w:rPr>
          <w:color w:val="000000"/>
          <w:lang w:val="en-GB" w:eastAsia="uz-Cyrl-UZ"/>
        </w:rPr>
        <w:t xml:space="preserve"> </w:t>
      </w:r>
      <w:r w:rsidR="00EB528A" w:rsidRPr="00ED4758">
        <w:rPr>
          <w:color w:val="000000"/>
          <w:lang w:val="en-GB" w:eastAsia="uz-Cyrl-UZ"/>
        </w:rPr>
        <w:t xml:space="preserve">only </w:t>
      </w:r>
      <w:r w:rsidRPr="00ED4758">
        <w:rPr>
          <w:color w:val="000000"/>
          <w:lang w:val="en-GB" w:eastAsia="uz-Cyrl-UZ"/>
        </w:rPr>
        <w:t xml:space="preserve">slightly - demand for them remains high due to rising household incomes and high consumer confidence. The growth of corporate loans is likely to </w:t>
      </w:r>
      <w:r w:rsidR="00976F1E" w:rsidRPr="00ED4758">
        <w:rPr>
          <w:color w:val="000000"/>
          <w:lang w:val="en-GB" w:eastAsia="uz-Cyrl-UZ"/>
        </w:rPr>
        <w:t>continue but</w:t>
      </w:r>
      <w:r w:rsidRPr="00ED4758">
        <w:rPr>
          <w:color w:val="000000"/>
          <w:lang w:val="en-GB" w:eastAsia="uz-Cyrl-UZ"/>
        </w:rPr>
        <w:t xml:space="preserve"> may be limited by the low transparency of company finances. In 2019, interest rates on foreign currency loans were the lowest in the history of the banking sector, but this did not lead to an increase in banks' foreign currency loan portfolio.</w:t>
      </w:r>
    </w:p>
    <w:p w14:paraId="307A5D61" w14:textId="275DF7C7" w:rsidR="00EB528A" w:rsidRPr="00ED4758" w:rsidRDefault="00EB528A" w:rsidP="00BB34F9">
      <w:pPr>
        <w:pStyle w:val="ListParagraph"/>
        <w:shd w:val="clear" w:color="auto" w:fill="FFFFFF"/>
        <w:ind w:left="0" w:firstLine="567"/>
        <w:jc w:val="both"/>
        <w:rPr>
          <w:color w:val="000000"/>
          <w:lang w:val="en-GB" w:eastAsia="uz-Cyrl-UZ"/>
        </w:rPr>
      </w:pPr>
      <w:r w:rsidRPr="00ED4758">
        <w:rPr>
          <w:color w:val="000000"/>
          <w:lang w:val="en-GB" w:eastAsia="uz-Cyrl-UZ"/>
        </w:rPr>
        <w:t>The National Bank of Ukraine expects that interest rates on hryvnia loans, including mortgages, will be historically the lowest during 2020. Due to low inflation and macro-financial stability, high cost of resources will no longer be a problem hindering credit recovery.</w:t>
      </w:r>
    </w:p>
    <w:p w14:paraId="6280CBAB" w14:textId="0DD85D1B" w:rsidR="00EB528A" w:rsidRPr="00ED4758" w:rsidRDefault="00EB528A" w:rsidP="00BB34F9">
      <w:pPr>
        <w:pStyle w:val="ListParagraph"/>
        <w:shd w:val="clear" w:color="auto" w:fill="FFFFFF"/>
        <w:ind w:left="0" w:firstLine="567"/>
        <w:jc w:val="both"/>
        <w:rPr>
          <w:color w:val="000000"/>
          <w:lang w:val="en-GB" w:eastAsia="uz-Cyrl-UZ"/>
        </w:rPr>
      </w:pPr>
      <w:r w:rsidRPr="00ED4758">
        <w:rPr>
          <w:color w:val="000000"/>
          <w:lang w:val="en-GB" w:eastAsia="uz-Cyrl-UZ"/>
        </w:rPr>
        <w:t>Banks should continue to form a capital conservation buffer - by the beginning of 2021 it should reach 1.25%. System</w:t>
      </w:r>
      <w:r w:rsidR="007A3BE5" w:rsidRPr="00ED4758">
        <w:rPr>
          <w:color w:val="000000"/>
          <w:lang w:val="en-GB" w:eastAsia="uz-Cyrl-UZ"/>
        </w:rPr>
        <w:t>-</w:t>
      </w:r>
      <w:r w:rsidRPr="00ED4758">
        <w:rPr>
          <w:color w:val="000000"/>
          <w:lang w:val="en-GB" w:eastAsia="uz-Cyrl-UZ"/>
        </w:rPr>
        <w:t xml:space="preserve">important banks should also form a </w:t>
      </w:r>
      <w:r w:rsidR="007A3BE5" w:rsidRPr="00ED4758">
        <w:rPr>
          <w:color w:val="000000"/>
          <w:lang w:val="en-GB" w:eastAsia="uz-Cyrl-UZ"/>
        </w:rPr>
        <w:t xml:space="preserve">system importance </w:t>
      </w:r>
      <w:r w:rsidR="00976F1E">
        <w:rPr>
          <w:color w:val="000000"/>
          <w:lang w:val="en-GB" w:eastAsia="uz-Cyrl-UZ"/>
        </w:rPr>
        <w:t xml:space="preserve">buffer </w:t>
      </w:r>
      <w:r w:rsidRPr="00ED4758">
        <w:rPr>
          <w:color w:val="000000"/>
          <w:lang w:val="en-GB" w:eastAsia="uz-Cyrl-UZ"/>
        </w:rPr>
        <w:t xml:space="preserve">during 2020. Given the high profitability of the banking sector, this </w:t>
      </w:r>
      <w:r w:rsidR="00976F1E">
        <w:rPr>
          <w:color w:val="000000"/>
          <w:lang w:val="en-GB" w:eastAsia="uz-Cyrl-UZ"/>
        </w:rPr>
        <w:t>issue</w:t>
      </w:r>
      <w:r w:rsidRPr="00ED4758">
        <w:rPr>
          <w:color w:val="000000"/>
          <w:lang w:val="en-GB" w:eastAsia="uz-Cyrl-UZ"/>
        </w:rPr>
        <w:t xml:space="preserve"> does not create additional challenges for banks. By the end of March, banks must approve and submit </w:t>
      </w:r>
      <w:r w:rsidR="007A3BE5" w:rsidRPr="00ED4758">
        <w:rPr>
          <w:color w:val="000000"/>
          <w:lang w:val="en-GB" w:eastAsia="uz-Cyrl-UZ"/>
        </w:rPr>
        <w:t xml:space="preserve">for review to the National Bank of Ukraine </w:t>
      </w:r>
      <w:r w:rsidRPr="00ED4758">
        <w:rPr>
          <w:color w:val="000000"/>
          <w:lang w:val="en-GB" w:eastAsia="uz-Cyrl-UZ"/>
        </w:rPr>
        <w:t>programs for working with non-performing loans.</w:t>
      </w:r>
    </w:p>
    <w:p w14:paraId="639E5874" w14:textId="2D936E64" w:rsidR="007A3BE5" w:rsidRPr="00ED4758" w:rsidRDefault="007A3BE5" w:rsidP="00AE77EE">
      <w:pPr>
        <w:ind w:firstLine="567"/>
        <w:jc w:val="both"/>
        <w:rPr>
          <w:lang w:val="en-GB"/>
        </w:rPr>
      </w:pPr>
      <w:r w:rsidRPr="00ED4758">
        <w:rPr>
          <w:lang w:val="en-GB"/>
        </w:rPr>
        <w:t>On March 11, 2020, the Regulation of the Cabinet of Ministers of Ukraine “On Prevention of COVID-19 Coronavirus Dissemination in the Territory of Ukraine” introduced the restriction of operati</w:t>
      </w:r>
      <w:r w:rsidR="00976F1E">
        <w:rPr>
          <w:lang w:val="en-GB"/>
        </w:rPr>
        <w:t>ng</w:t>
      </w:r>
      <w:r w:rsidRPr="00ED4758">
        <w:rPr>
          <w:lang w:val="en-GB"/>
        </w:rPr>
        <w:t xml:space="preserve"> activities of business entities and quarantine measures. The Bank is not under credit risk, so there is no immediate impact of the effects of the COVID-19 spread on its operations. However, the medium-term implications at the date of preparation of this report </w:t>
      </w:r>
      <w:r w:rsidR="00976F1E" w:rsidRPr="00ED4758">
        <w:rPr>
          <w:lang w:val="en-GB"/>
        </w:rPr>
        <w:t>cannot</w:t>
      </w:r>
      <w:r w:rsidRPr="00ED4758">
        <w:rPr>
          <w:lang w:val="en-GB"/>
        </w:rPr>
        <w:t xml:space="preserve"> be predictable.</w:t>
      </w:r>
    </w:p>
    <w:p w14:paraId="7F6C73A8" w14:textId="77777777" w:rsidR="00B45100" w:rsidRPr="00ED4758" w:rsidRDefault="00B45100" w:rsidP="00BB34F9">
      <w:pPr>
        <w:shd w:val="clear" w:color="auto" w:fill="FFFFFF"/>
        <w:ind w:firstLine="567"/>
        <w:jc w:val="both"/>
        <w:rPr>
          <w:color w:val="000000"/>
          <w:highlight w:val="yellow"/>
          <w:lang w:val="en-GB"/>
        </w:rPr>
      </w:pPr>
    </w:p>
    <w:p w14:paraId="7E9DF2CE" w14:textId="76087E99" w:rsidR="00B45100" w:rsidRPr="00ED4758" w:rsidRDefault="00434B7C" w:rsidP="00BB34F9">
      <w:pPr>
        <w:shd w:val="clear" w:color="auto" w:fill="FFFFFF"/>
        <w:ind w:firstLine="567"/>
        <w:jc w:val="both"/>
        <w:rPr>
          <w:i/>
          <w:color w:val="000000"/>
          <w:lang w:val="en-GB"/>
        </w:rPr>
      </w:pPr>
      <w:r w:rsidRPr="00ED4758">
        <w:rPr>
          <w:i/>
          <w:color w:val="000000"/>
          <w:lang w:val="en-GB"/>
        </w:rPr>
        <w:t xml:space="preserve">Information on the key management of JSC “Ukrainian bank for reconstruction and development” </w:t>
      </w:r>
      <w:r w:rsidR="00FA2EE2" w:rsidRPr="00ED4758">
        <w:rPr>
          <w:rStyle w:val="tlid-translation"/>
          <w:i/>
          <w:lang w:val="en-GB"/>
        </w:rPr>
        <w:t>(</w:t>
      </w:r>
      <w:r w:rsidRPr="00ED4758">
        <w:rPr>
          <w:rStyle w:val="tlid-translation"/>
          <w:i/>
          <w:lang w:val="en-GB"/>
        </w:rPr>
        <w:t>hereinafter also – “the Bank”</w:t>
      </w:r>
      <w:r w:rsidR="00FA2EE2" w:rsidRPr="00ED4758">
        <w:rPr>
          <w:rStyle w:val="tlid-translation"/>
          <w:i/>
          <w:lang w:val="en-GB"/>
        </w:rPr>
        <w:t>)</w:t>
      </w:r>
      <w:r w:rsidR="00FB6DC3" w:rsidRPr="00ED4758">
        <w:rPr>
          <w:rStyle w:val="tlid-translation"/>
          <w:i/>
          <w:lang w:val="en-GB"/>
        </w:rPr>
        <w:t xml:space="preserve"> </w:t>
      </w:r>
      <w:r w:rsidRPr="00ED4758">
        <w:rPr>
          <w:rStyle w:val="tlid-translation"/>
          <w:i/>
          <w:lang w:val="en-GB"/>
        </w:rPr>
        <w:t>as of 01.01.2020</w:t>
      </w:r>
    </w:p>
    <w:p w14:paraId="0C78D5EE" w14:textId="77777777" w:rsidR="00B45100" w:rsidRPr="00ED4758" w:rsidRDefault="00B45100" w:rsidP="00BB34F9">
      <w:pPr>
        <w:shd w:val="clear" w:color="auto" w:fill="FFFFFF"/>
        <w:ind w:firstLine="567"/>
        <w:jc w:val="both"/>
        <w:rPr>
          <w:i/>
          <w:color w:val="000000"/>
          <w:lang w:val="en-GB"/>
        </w:rPr>
      </w:pPr>
    </w:p>
    <w:p w14:paraId="12B3C023" w14:textId="1EE7B41E" w:rsidR="00B45100" w:rsidRPr="00ED4758" w:rsidRDefault="008908F2" w:rsidP="00BB34F9">
      <w:pPr>
        <w:jc w:val="both"/>
        <w:rPr>
          <w:i/>
          <w:u w:val="single"/>
          <w:lang w:val="en-GB"/>
        </w:rPr>
      </w:pPr>
      <w:r w:rsidRPr="00ED4758">
        <w:rPr>
          <w:i/>
          <w:u w:val="single"/>
          <w:lang w:val="en-GB"/>
        </w:rPr>
        <w:t>The Supervisory Board</w:t>
      </w:r>
      <w:r w:rsidR="00B45100" w:rsidRPr="00ED4758">
        <w:rPr>
          <w:i/>
          <w:u w:val="single"/>
          <w:lang w:val="en-GB"/>
        </w:rPr>
        <w:t>:</w:t>
      </w:r>
    </w:p>
    <w:p w14:paraId="14DECCCB" w14:textId="159761A6" w:rsidR="00B45100" w:rsidRPr="00ED4758" w:rsidRDefault="00B45100" w:rsidP="00BB34F9">
      <w:pPr>
        <w:jc w:val="both"/>
        <w:rPr>
          <w:lang w:val="en-GB"/>
        </w:rPr>
      </w:pPr>
      <w:r w:rsidRPr="00ED4758">
        <w:rPr>
          <w:lang w:val="en-GB"/>
        </w:rPr>
        <w:t xml:space="preserve">- </w:t>
      </w:r>
      <w:r w:rsidR="00976F1E">
        <w:rPr>
          <w:lang w:val="en-GB"/>
        </w:rPr>
        <w:t>Chairman</w:t>
      </w:r>
      <w:r w:rsidR="008908F2" w:rsidRPr="00ED4758">
        <w:rPr>
          <w:lang w:val="en-GB"/>
        </w:rPr>
        <w:t xml:space="preserve"> of the Supervisory Board</w:t>
      </w:r>
      <w:r w:rsidRPr="00ED4758">
        <w:rPr>
          <w:lang w:val="en-GB"/>
        </w:rPr>
        <w:t xml:space="preserve"> </w:t>
      </w:r>
      <w:r w:rsidR="00434B7C" w:rsidRPr="00ED4758">
        <w:rPr>
          <w:lang w:val="en-GB"/>
        </w:rPr>
        <w:t>–</w:t>
      </w:r>
      <w:r w:rsidRPr="00ED4758">
        <w:rPr>
          <w:lang w:val="en-GB"/>
        </w:rPr>
        <w:t xml:space="preserve"> </w:t>
      </w:r>
      <w:r w:rsidR="00434B7C" w:rsidRPr="00ED4758">
        <w:rPr>
          <w:lang w:val="en-GB"/>
        </w:rPr>
        <w:t>Yan D</w:t>
      </w:r>
      <w:r w:rsidR="00976F1E">
        <w:rPr>
          <w:lang w:val="en-GB"/>
        </w:rPr>
        <w:t>o</w:t>
      </w:r>
      <w:r w:rsidR="00434B7C" w:rsidRPr="00ED4758">
        <w:rPr>
          <w:lang w:val="en-GB"/>
        </w:rPr>
        <w:t>ngshen</w:t>
      </w:r>
      <w:r w:rsidR="00976F1E">
        <w:rPr>
          <w:lang w:val="en-GB"/>
        </w:rPr>
        <w:t>g</w:t>
      </w:r>
      <w:r w:rsidR="00434B7C" w:rsidRPr="00ED4758">
        <w:rPr>
          <w:lang w:val="en-GB"/>
        </w:rPr>
        <w:t>;</w:t>
      </w:r>
    </w:p>
    <w:p w14:paraId="42634590" w14:textId="4123F9EA" w:rsidR="00B45100" w:rsidRPr="00ED4758" w:rsidRDefault="00B45100" w:rsidP="00BB34F9">
      <w:pPr>
        <w:jc w:val="both"/>
        <w:rPr>
          <w:lang w:val="en-GB"/>
        </w:rPr>
      </w:pPr>
      <w:r w:rsidRPr="00ED4758">
        <w:rPr>
          <w:lang w:val="en-GB"/>
        </w:rPr>
        <w:t xml:space="preserve">- </w:t>
      </w:r>
      <w:r w:rsidR="008908F2" w:rsidRPr="00ED4758">
        <w:rPr>
          <w:lang w:val="en-GB"/>
        </w:rPr>
        <w:t xml:space="preserve">Deputy </w:t>
      </w:r>
      <w:r w:rsidR="00976F1E">
        <w:rPr>
          <w:lang w:val="en-GB"/>
        </w:rPr>
        <w:t>Chairman</w:t>
      </w:r>
      <w:r w:rsidR="008908F2" w:rsidRPr="00ED4758">
        <w:rPr>
          <w:lang w:val="en-GB"/>
        </w:rPr>
        <w:t xml:space="preserve"> of the Supervisory Board</w:t>
      </w:r>
      <w:r w:rsidRPr="00ED4758">
        <w:rPr>
          <w:lang w:val="en-GB"/>
        </w:rPr>
        <w:t>, (</w:t>
      </w:r>
      <w:r w:rsidR="008908F2" w:rsidRPr="00ED4758">
        <w:rPr>
          <w:lang w:val="en-GB"/>
        </w:rPr>
        <w:t>independent member</w:t>
      </w:r>
      <w:r w:rsidRPr="00ED4758">
        <w:rPr>
          <w:lang w:val="en-GB"/>
        </w:rPr>
        <w:t xml:space="preserve">) - </w:t>
      </w:r>
      <w:r w:rsidR="00976F1E" w:rsidRPr="00976F1E">
        <w:rPr>
          <w:lang w:val="en-GB"/>
        </w:rPr>
        <w:t xml:space="preserve">Wen </w:t>
      </w:r>
      <w:proofErr w:type="spellStart"/>
      <w:r w:rsidR="00976F1E" w:rsidRPr="00976F1E">
        <w:rPr>
          <w:lang w:val="en-GB"/>
        </w:rPr>
        <w:t>Yuanhua</w:t>
      </w:r>
      <w:proofErr w:type="spellEnd"/>
      <w:r w:rsidRPr="00ED4758">
        <w:rPr>
          <w:lang w:val="en-GB"/>
        </w:rPr>
        <w:t>;</w:t>
      </w:r>
    </w:p>
    <w:p w14:paraId="75707987" w14:textId="35243E7A" w:rsidR="00B45100" w:rsidRPr="00ED4758" w:rsidRDefault="00B45100" w:rsidP="00BB34F9">
      <w:pPr>
        <w:jc w:val="both"/>
        <w:rPr>
          <w:lang w:val="en-GB"/>
        </w:rPr>
      </w:pPr>
      <w:r w:rsidRPr="00ED4758">
        <w:rPr>
          <w:lang w:val="en-GB"/>
        </w:rPr>
        <w:t xml:space="preserve">- </w:t>
      </w:r>
      <w:r w:rsidR="008908F2" w:rsidRPr="00ED4758">
        <w:rPr>
          <w:lang w:val="en-GB"/>
        </w:rPr>
        <w:t>Member of the Supervisory Board</w:t>
      </w:r>
      <w:r w:rsidRPr="00ED4758">
        <w:rPr>
          <w:lang w:val="en-GB"/>
        </w:rPr>
        <w:t xml:space="preserve"> (</w:t>
      </w:r>
      <w:r w:rsidR="008908F2" w:rsidRPr="00ED4758">
        <w:rPr>
          <w:lang w:val="en-GB"/>
        </w:rPr>
        <w:t>independent member</w:t>
      </w:r>
      <w:r w:rsidRPr="00ED4758">
        <w:rPr>
          <w:lang w:val="en-GB"/>
        </w:rPr>
        <w:t xml:space="preserve">) </w:t>
      </w:r>
      <w:r w:rsidR="008908F2" w:rsidRPr="00ED4758">
        <w:rPr>
          <w:lang w:val="en-GB"/>
        </w:rPr>
        <w:t>–</w:t>
      </w:r>
      <w:r w:rsidRPr="00ED4758">
        <w:rPr>
          <w:lang w:val="en-GB"/>
        </w:rPr>
        <w:t xml:space="preserve"> </w:t>
      </w:r>
      <w:proofErr w:type="spellStart"/>
      <w:r w:rsidR="008908F2" w:rsidRPr="00ED4758">
        <w:rPr>
          <w:lang w:val="en-GB"/>
        </w:rPr>
        <w:t>Osypenko</w:t>
      </w:r>
      <w:proofErr w:type="spellEnd"/>
      <w:r w:rsidR="008908F2" w:rsidRPr="00ED4758">
        <w:rPr>
          <w:lang w:val="en-GB"/>
        </w:rPr>
        <w:t xml:space="preserve"> Ruslan </w:t>
      </w:r>
      <w:proofErr w:type="spellStart"/>
      <w:r w:rsidR="008908F2" w:rsidRPr="00ED4758">
        <w:rPr>
          <w:lang w:val="en-GB"/>
        </w:rPr>
        <w:t>Anatoliyovych</w:t>
      </w:r>
      <w:proofErr w:type="spellEnd"/>
      <w:r w:rsidR="008908F2" w:rsidRPr="00ED4758">
        <w:rPr>
          <w:lang w:val="en-GB"/>
        </w:rPr>
        <w:t xml:space="preserve"> </w:t>
      </w:r>
    </w:p>
    <w:p w14:paraId="76F33689" w14:textId="589B5F92" w:rsidR="00B45100" w:rsidRPr="00ED4758" w:rsidRDefault="00B45100" w:rsidP="00BB34F9">
      <w:pPr>
        <w:jc w:val="both"/>
        <w:rPr>
          <w:lang w:val="en-GB"/>
        </w:rPr>
      </w:pPr>
      <w:r w:rsidRPr="00ED4758">
        <w:rPr>
          <w:lang w:val="en-GB"/>
        </w:rPr>
        <w:t xml:space="preserve">- </w:t>
      </w:r>
      <w:r w:rsidR="008908F2" w:rsidRPr="00ED4758">
        <w:rPr>
          <w:lang w:val="en-GB"/>
        </w:rPr>
        <w:t>Member of the Supervisory Board (independent member) –</w:t>
      </w:r>
      <w:r w:rsidRPr="00ED4758">
        <w:rPr>
          <w:lang w:val="en-GB"/>
        </w:rPr>
        <w:t xml:space="preserve"> </w:t>
      </w:r>
      <w:proofErr w:type="spellStart"/>
      <w:r w:rsidR="008908F2" w:rsidRPr="00ED4758">
        <w:rPr>
          <w:lang w:val="en-GB"/>
        </w:rPr>
        <w:t>Blaschuk</w:t>
      </w:r>
      <w:proofErr w:type="spellEnd"/>
      <w:r w:rsidR="008908F2" w:rsidRPr="00ED4758">
        <w:rPr>
          <w:lang w:val="en-GB"/>
        </w:rPr>
        <w:t xml:space="preserve"> </w:t>
      </w:r>
      <w:proofErr w:type="spellStart"/>
      <w:r w:rsidR="008908F2" w:rsidRPr="00ED4758">
        <w:rPr>
          <w:lang w:val="en-GB"/>
        </w:rPr>
        <w:t>Yuriy</w:t>
      </w:r>
      <w:proofErr w:type="spellEnd"/>
      <w:r w:rsidR="008908F2" w:rsidRPr="00ED4758">
        <w:rPr>
          <w:lang w:val="en-GB"/>
        </w:rPr>
        <w:t xml:space="preserve"> </w:t>
      </w:r>
      <w:proofErr w:type="spellStart"/>
      <w:r w:rsidR="008908F2" w:rsidRPr="00ED4758">
        <w:rPr>
          <w:lang w:val="en-GB"/>
        </w:rPr>
        <w:t>Oleksandrovych</w:t>
      </w:r>
      <w:proofErr w:type="spellEnd"/>
      <w:r w:rsidR="008908F2" w:rsidRPr="00ED4758">
        <w:rPr>
          <w:lang w:val="en-GB"/>
        </w:rPr>
        <w:t xml:space="preserve"> </w:t>
      </w:r>
    </w:p>
    <w:p w14:paraId="6B8027C5" w14:textId="77777777" w:rsidR="00B45100" w:rsidRPr="00ED4758" w:rsidRDefault="00B45100" w:rsidP="00BB34F9">
      <w:pPr>
        <w:jc w:val="both"/>
        <w:rPr>
          <w:highlight w:val="yellow"/>
          <w:lang w:val="en-GB"/>
        </w:rPr>
      </w:pPr>
    </w:p>
    <w:p w14:paraId="2E82901A" w14:textId="3F20D3B1" w:rsidR="00B45100" w:rsidRPr="00ED4758" w:rsidRDefault="008908F2" w:rsidP="00BB34F9">
      <w:pPr>
        <w:jc w:val="both"/>
        <w:rPr>
          <w:i/>
          <w:u w:val="single"/>
          <w:lang w:val="en-GB"/>
        </w:rPr>
      </w:pPr>
      <w:r w:rsidRPr="00ED4758">
        <w:rPr>
          <w:i/>
          <w:u w:val="single"/>
          <w:lang w:val="en-GB"/>
        </w:rPr>
        <w:t xml:space="preserve">The Executive </w:t>
      </w:r>
      <w:r w:rsidR="00751AD5" w:rsidRPr="00ED4758">
        <w:rPr>
          <w:i/>
          <w:u w:val="single"/>
          <w:lang w:val="en-GB"/>
        </w:rPr>
        <w:t>Board</w:t>
      </w:r>
      <w:r w:rsidR="00B45100" w:rsidRPr="00ED4758">
        <w:rPr>
          <w:i/>
          <w:u w:val="single"/>
          <w:lang w:val="en-GB"/>
        </w:rPr>
        <w:t>:</w:t>
      </w:r>
    </w:p>
    <w:p w14:paraId="61DEFFB3" w14:textId="45636A70" w:rsidR="00B45100" w:rsidRPr="00ED4758" w:rsidRDefault="00B45100" w:rsidP="00BB34F9">
      <w:pPr>
        <w:jc w:val="both"/>
        <w:rPr>
          <w:lang w:val="en-GB"/>
        </w:rPr>
      </w:pPr>
      <w:r w:rsidRPr="00ED4758">
        <w:rPr>
          <w:lang w:val="en-GB"/>
        </w:rPr>
        <w:t xml:space="preserve">- </w:t>
      </w:r>
      <w:r w:rsidR="00976F1E">
        <w:rPr>
          <w:lang w:val="en-GB"/>
        </w:rPr>
        <w:t>Chairman</w:t>
      </w:r>
      <w:r w:rsidR="00751AD5" w:rsidRPr="00ED4758">
        <w:rPr>
          <w:lang w:val="en-GB"/>
        </w:rPr>
        <w:t xml:space="preserve"> of the Executive Board</w:t>
      </w:r>
      <w:r w:rsidRPr="00ED4758">
        <w:rPr>
          <w:lang w:val="en-GB"/>
        </w:rPr>
        <w:t xml:space="preserve"> </w:t>
      </w:r>
      <w:r w:rsidR="00751AD5" w:rsidRPr="00ED4758">
        <w:rPr>
          <w:lang w:val="en-GB"/>
        </w:rPr>
        <w:t>–</w:t>
      </w:r>
      <w:r w:rsidRPr="00ED4758">
        <w:rPr>
          <w:lang w:val="en-GB"/>
        </w:rPr>
        <w:t xml:space="preserve"> </w:t>
      </w:r>
      <w:proofErr w:type="spellStart"/>
      <w:r w:rsidR="00751AD5" w:rsidRPr="00ED4758">
        <w:rPr>
          <w:lang w:val="en-GB"/>
        </w:rPr>
        <w:t>Loktionov</w:t>
      </w:r>
      <w:proofErr w:type="spellEnd"/>
      <w:r w:rsidR="00751AD5" w:rsidRPr="00ED4758">
        <w:rPr>
          <w:lang w:val="en-GB"/>
        </w:rPr>
        <w:t xml:space="preserve"> Oleh </w:t>
      </w:r>
      <w:proofErr w:type="spellStart"/>
      <w:r w:rsidR="00751AD5" w:rsidRPr="00ED4758">
        <w:rPr>
          <w:lang w:val="en-GB"/>
        </w:rPr>
        <w:t>Yuriyovych</w:t>
      </w:r>
      <w:proofErr w:type="spellEnd"/>
      <w:r w:rsidRPr="00ED4758">
        <w:rPr>
          <w:lang w:val="en-GB"/>
        </w:rPr>
        <w:t>;</w:t>
      </w:r>
    </w:p>
    <w:p w14:paraId="43045017" w14:textId="02F7BE92" w:rsidR="00B45100" w:rsidRPr="00ED4758" w:rsidRDefault="00B45100" w:rsidP="00BB34F9">
      <w:pPr>
        <w:jc w:val="both"/>
        <w:rPr>
          <w:lang w:val="en-GB"/>
        </w:rPr>
      </w:pPr>
      <w:r w:rsidRPr="00ED4758">
        <w:rPr>
          <w:lang w:val="en-GB"/>
        </w:rPr>
        <w:t xml:space="preserve">- </w:t>
      </w:r>
      <w:r w:rsidR="00751AD5" w:rsidRPr="00ED4758">
        <w:rPr>
          <w:lang w:val="en-GB"/>
        </w:rPr>
        <w:t xml:space="preserve">Deputy </w:t>
      </w:r>
      <w:r w:rsidR="00976F1E">
        <w:rPr>
          <w:lang w:val="en-GB"/>
        </w:rPr>
        <w:t>Chairman</w:t>
      </w:r>
      <w:r w:rsidR="00751AD5" w:rsidRPr="00ED4758">
        <w:rPr>
          <w:lang w:val="en-GB"/>
        </w:rPr>
        <w:t xml:space="preserve"> of the Executive Board –</w:t>
      </w:r>
      <w:r w:rsidRPr="00ED4758">
        <w:rPr>
          <w:lang w:val="en-GB"/>
        </w:rPr>
        <w:t xml:space="preserve"> </w:t>
      </w:r>
      <w:proofErr w:type="spellStart"/>
      <w:r w:rsidR="00751AD5" w:rsidRPr="00ED4758">
        <w:rPr>
          <w:lang w:val="en-GB"/>
        </w:rPr>
        <w:t>Tretiakov</w:t>
      </w:r>
      <w:proofErr w:type="spellEnd"/>
      <w:r w:rsidR="00751AD5" w:rsidRPr="00ED4758">
        <w:rPr>
          <w:lang w:val="en-GB"/>
        </w:rPr>
        <w:t xml:space="preserve"> </w:t>
      </w:r>
      <w:proofErr w:type="spellStart"/>
      <w:r w:rsidR="00751AD5" w:rsidRPr="00ED4758">
        <w:rPr>
          <w:lang w:val="en-GB"/>
        </w:rPr>
        <w:t>Vasyl</w:t>
      </w:r>
      <w:proofErr w:type="spellEnd"/>
      <w:r w:rsidR="00751AD5" w:rsidRPr="00ED4758">
        <w:rPr>
          <w:lang w:val="en-GB"/>
        </w:rPr>
        <w:t xml:space="preserve"> </w:t>
      </w:r>
      <w:proofErr w:type="spellStart"/>
      <w:r w:rsidR="00751AD5" w:rsidRPr="00ED4758">
        <w:rPr>
          <w:lang w:val="en-GB"/>
        </w:rPr>
        <w:t>Valeriyovych</w:t>
      </w:r>
      <w:proofErr w:type="spellEnd"/>
      <w:r w:rsidRPr="00ED4758">
        <w:rPr>
          <w:lang w:val="en-GB"/>
        </w:rPr>
        <w:t>;</w:t>
      </w:r>
    </w:p>
    <w:p w14:paraId="178168EF" w14:textId="037A5BDB" w:rsidR="00B45100" w:rsidRPr="00ED4758" w:rsidRDefault="00B45100" w:rsidP="00BB34F9">
      <w:pPr>
        <w:jc w:val="both"/>
        <w:rPr>
          <w:lang w:val="en-GB"/>
        </w:rPr>
      </w:pPr>
      <w:r w:rsidRPr="00ED4758">
        <w:rPr>
          <w:lang w:val="en-GB"/>
        </w:rPr>
        <w:t xml:space="preserve">- </w:t>
      </w:r>
      <w:r w:rsidR="00751AD5" w:rsidRPr="00ED4758">
        <w:rPr>
          <w:lang w:val="en-GB"/>
        </w:rPr>
        <w:t>Chief accountant, Member of the Executive Board –</w:t>
      </w:r>
      <w:r w:rsidRPr="00ED4758">
        <w:rPr>
          <w:lang w:val="en-GB"/>
        </w:rPr>
        <w:t xml:space="preserve"> </w:t>
      </w:r>
      <w:r w:rsidR="00751AD5" w:rsidRPr="00ED4758">
        <w:rPr>
          <w:lang w:val="en-GB"/>
        </w:rPr>
        <w:t xml:space="preserve">Zeleniuk </w:t>
      </w:r>
      <w:proofErr w:type="spellStart"/>
      <w:r w:rsidR="00751AD5" w:rsidRPr="00ED4758">
        <w:rPr>
          <w:lang w:val="en-GB"/>
        </w:rPr>
        <w:t>Nataliia</w:t>
      </w:r>
      <w:proofErr w:type="spellEnd"/>
      <w:r w:rsidR="00751AD5" w:rsidRPr="00ED4758">
        <w:rPr>
          <w:lang w:val="en-GB"/>
        </w:rPr>
        <w:t xml:space="preserve"> </w:t>
      </w:r>
      <w:proofErr w:type="spellStart"/>
      <w:r w:rsidR="00751AD5" w:rsidRPr="00ED4758">
        <w:rPr>
          <w:lang w:val="en-GB"/>
        </w:rPr>
        <w:t>Oleksandrivna</w:t>
      </w:r>
      <w:proofErr w:type="spellEnd"/>
      <w:r w:rsidRPr="00ED4758">
        <w:rPr>
          <w:lang w:val="en-GB"/>
        </w:rPr>
        <w:t>.</w:t>
      </w:r>
    </w:p>
    <w:p w14:paraId="5AA365D9" w14:textId="77777777" w:rsidR="00B45100" w:rsidRPr="00ED4758" w:rsidRDefault="00B45100" w:rsidP="00BB34F9">
      <w:pPr>
        <w:shd w:val="clear" w:color="auto" w:fill="FFFFFF"/>
        <w:ind w:firstLine="567"/>
        <w:jc w:val="both"/>
        <w:rPr>
          <w:i/>
          <w:color w:val="000000"/>
          <w:highlight w:val="yellow"/>
          <w:lang w:val="en-GB"/>
        </w:rPr>
      </w:pPr>
    </w:p>
    <w:p w14:paraId="49872B8B" w14:textId="5C29B29D" w:rsidR="00B45100" w:rsidRPr="00ED4758" w:rsidRDefault="007A3BE5" w:rsidP="00BB34F9">
      <w:pPr>
        <w:shd w:val="clear" w:color="auto" w:fill="FFFFFF"/>
        <w:ind w:firstLine="567"/>
        <w:jc w:val="both"/>
        <w:rPr>
          <w:i/>
          <w:color w:val="000000"/>
          <w:lang w:val="en-GB"/>
        </w:rPr>
      </w:pPr>
      <w:r w:rsidRPr="00ED4758">
        <w:rPr>
          <w:i/>
          <w:color w:val="000000"/>
          <w:lang w:val="en-GB"/>
        </w:rPr>
        <w:t xml:space="preserve">Presence of structural units </w:t>
      </w:r>
    </w:p>
    <w:p w14:paraId="619E5B0C" w14:textId="75AEF4EE" w:rsidR="00B45100" w:rsidRPr="00ED4758" w:rsidRDefault="007A3BE5" w:rsidP="00BB34F9">
      <w:pPr>
        <w:shd w:val="clear" w:color="auto" w:fill="FFFFFF"/>
        <w:ind w:firstLine="567"/>
        <w:jc w:val="both"/>
        <w:rPr>
          <w:color w:val="000000"/>
          <w:lang w:val="en-GB"/>
        </w:rPr>
      </w:pPr>
      <w:r w:rsidRPr="00ED4758">
        <w:rPr>
          <w:color w:val="000000"/>
          <w:lang w:val="en-GB"/>
        </w:rPr>
        <w:t>Separate structural units are absent</w:t>
      </w:r>
      <w:r w:rsidR="00976F1E">
        <w:rPr>
          <w:color w:val="000000"/>
          <w:lang w:val="en-GB"/>
        </w:rPr>
        <w:t>.</w:t>
      </w:r>
      <w:r w:rsidRPr="00ED4758">
        <w:rPr>
          <w:color w:val="000000"/>
          <w:lang w:val="en-GB"/>
        </w:rPr>
        <w:t xml:space="preserve"> </w:t>
      </w:r>
    </w:p>
    <w:p w14:paraId="1317B640" w14:textId="77777777" w:rsidR="00B45100" w:rsidRPr="00ED4758" w:rsidRDefault="00B45100" w:rsidP="00BB34F9">
      <w:pPr>
        <w:shd w:val="clear" w:color="auto" w:fill="FFFFFF"/>
        <w:ind w:firstLine="567"/>
        <w:jc w:val="both"/>
        <w:rPr>
          <w:i/>
          <w:color w:val="000000"/>
          <w:highlight w:val="yellow"/>
          <w:lang w:val="en-GB"/>
        </w:rPr>
      </w:pPr>
    </w:p>
    <w:p w14:paraId="0FB77564" w14:textId="5EBABC9A" w:rsidR="00B45100" w:rsidRPr="00ED4758" w:rsidRDefault="007A3BE5" w:rsidP="00BB34F9">
      <w:pPr>
        <w:shd w:val="clear" w:color="auto" w:fill="FFFFFF"/>
        <w:ind w:firstLine="567"/>
        <w:jc w:val="both"/>
        <w:rPr>
          <w:i/>
          <w:color w:val="000000"/>
          <w:lang w:val="en-GB"/>
        </w:rPr>
      </w:pPr>
      <w:r w:rsidRPr="00ED4758">
        <w:rPr>
          <w:i/>
          <w:color w:val="000000"/>
          <w:lang w:val="en-GB"/>
        </w:rPr>
        <w:t xml:space="preserve">Information on acquisition of assets </w:t>
      </w:r>
    </w:p>
    <w:p w14:paraId="760AAAD3" w14:textId="53F74B24" w:rsidR="007A3BE5" w:rsidRPr="00ED4758" w:rsidRDefault="007A3BE5" w:rsidP="007A3BE5">
      <w:pPr>
        <w:shd w:val="clear" w:color="auto" w:fill="FFFFFF"/>
        <w:ind w:firstLine="567"/>
        <w:jc w:val="both"/>
        <w:rPr>
          <w:color w:val="000000"/>
          <w:lang w:val="en-GB"/>
        </w:rPr>
      </w:pPr>
      <w:r w:rsidRPr="00ED4758">
        <w:rPr>
          <w:color w:val="000000"/>
          <w:lang w:val="en-GB"/>
        </w:rPr>
        <w:t>During the reporting period, the Bank did not issue shares and did not buy shares back from existing shareholders.</w:t>
      </w:r>
    </w:p>
    <w:p w14:paraId="44779388" w14:textId="0C668F97" w:rsidR="007A3BE5" w:rsidRPr="00ED4758" w:rsidRDefault="00976F1E" w:rsidP="007A3BE5">
      <w:pPr>
        <w:shd w:val="clear" w:color="auto" w:fill="FFFFFF"/>
        <w:ind w:firstLine="567"/>
        <w:jc w:val="both"/>
        <w:rPr>
          <w:color w:val="000000"/>
          <w:lang w:val="en-GB"/>
        </w:rPr>
      </w:pPr>
      <w:r>
        <w:rPr>
          <w:color w:val="000000"/>
          <w:lang w:val="en-GB"/>
        </w:rPr>
        <w:t>The m</w:t>
      </w:r>
      <w:r w:rsidR="007A3BE5" w:rsidRPr="00ED4758">
        <w:rPr>
          <w:color w:val="000000"/>
          <w:lang w:val="en-GB"/>
        </w:rPr>
        <w:t>anagement does not own p</w:t>
      </w:r>
      <w:r w:rsidR="0035388D" w:rsidRPr="00ED4758">
        <w:rPr>
          <w:color w:val="000000"/>
          <w:lang w:val="en-GB"/>
        </w:rPr>
        <w:t xml:space="preserve">art of </w:t>
      </w:r>
      <w:r w:rsidR="007A3BE5" w:rsidRPr="00ED4758">
        <w:rPr>
          <w:color w:val="000000"/>
          <w:lang w:val="en-GB"/>
        </w:rPr>
        <w:t>Bank's shares.</w:t>
      </w:r>
    </w:p>
    <w:p w14:paraId="25428981" w14:textId="77777777" w:rsidR="00B45100" w:rsidRPr="00ED4758" w:rsidRDefault="00B45100" w:rsidP="00BB34F9">
      <w:pPr>
        <w:shd w:val="clear" w:color="auto" w:fill="FFFFFF"/>
        <w:ind w:firstLine="567"/>
        <w:jc w:val="both"/>
        <w:rPr>
          <w:color w:val="000000"/>
          <w:highlight w:val="yellow"/>
          <w:lang w:val="en-GB"/>
        </w:rPr>
      </w:pPr>
    </w:p>
    <w:p w14:paraId="76B91687" w14:textId="77777777" w:rsidR="007A3BE5" w:rsidRPr="00ED4758" w:rsidRDefault="007A3BE5" w:rsidP="007A3BE5">
      <w:pPr>
        <w:shd w:val="clear" w:color="auto" w:fill="FFFFFF"/>
        <w:ind w:firstLine="567"/>
        <w:jc w:val="both"/>
        <w:rPr>
          <w:i/>
          <w:iCs/>
          <w:color w:val="000000"/>
          <w:lang w:val="en-GB"/>
        </w:rPr>
      </w:pPr>
      <w:r w:rsidRPr="00ED4758">
        <w:rPr>
          <w:i/>
          <w:iCs/>
          <w:color w:val="000000"/>
          <w:lang w:val="en-GB"/>
        </w:rPr>
        <w:t>The nature of the Bank's activities</w:t>
      </w:r>
    </w:p>
    <w:p w14:paraId="35A24263" w14:textId="77777777" w:rsidR="007A3BE5" w:rsidRPr="00ED4758" w:rsidRDefault="007A3BE5" w:rsidP="007A3BE5">
      <w:pPr>
        <w:shd w:val="clear" w:color="auto" w:fill="FFFFFF"/>
        <w:ind w:firstLine="567"/>
        <w:jc w:val="both"/>
        <w:rPr>
          <w:color w:val="000000"/>
          <w:lang w:val="en-GB"/>
        </w:rPr>
      </w:pPr>
    </w:p>
    <w:p w14:paraId="2CD9A7DB" w14:textId="797DB1D5" w:rsidR="007A3BE5" w:rsidRPr="00ED4758" w:rsidRDefault="007A3BE5" w:rsidP="007A3BE5">
      <w:pPr>
        <w:shd w:val="clear" w:color="auto" w:fill="FFFFFF"/>
        <w:ind w:firstLine="567"/>
        <w:jc w:val="both"/>
        <w:rPr>
          <w:color w:val="000000"/>
          <w:lang w:val="en-GB"/>
        </w:rPr>
      </w:pPr>
      <w:r w:rsidRPr="00ED4758">
        <w:rPr>
          <w:color w:val="000000"/>
          <w:lang w:val="en-GB"/>
        </w:rPr>
        <w:t xml:space="preserve">The Bank positions itself as </w:t>
      </w:r>
      <w:r w:rsidR="0035388D" w:rsidRPr="00ED4758">
        <w:rPr>
          <w:color w:val="000000"/>
          <w:lang w:val="en-GB"/>
        </w:rPr>
        <w:t>multifunctional</w:t>
      </w:r>
      <w:r w:rsidRPr="00ED4758">
        <w:rPr>
          <w:color w:val="000000"/>
          <w:lang w:val="en-GB"/>
        </w:rPr>
        <w:t xml:space="preserve">, and given the current political and economic environment, the Bank has </w:t>
      </w:r>
      <w:r w:rsidR="0035388D" w:rsidRPr="00ED4758">
        <w:rPr>
          <w:color w:val="000000"/>
          <w:lang w:val="en-GB"/>
        </w:rPr>
        <w:t>a</w:t>
      </w:r>
      <w:r w:rsidRPr="00ED4758">
        <w:rPr>
          <w:color w:val="000000"/>
          <w:lang w:val="en-GB"/>
        </w:rPr>
        <w:t xml:space="preserve"> prospect of becoming a full-service financial services provider for Chinese and Ukrainian export and import businesses </w:t>
      </w:r>
      <w:r w:rsidR="0035388D" w:rsidRPr="00ED4758">
        <w:rPr>
          <w:color w:val="000000"/>
          <w:lang w:val="en-GB"/>
        </w:rPr>
        <w:t>as well as</w:t>
      </w:r>
      <w:r w:rsidRPr="00ED4758">
        <w:rPr>
          <w:color w:val="000000"/>
          <w:lang w:val="en-GB"/>
        </w:rPr>
        <w:t xml:space="preserve"> providing</w:t>
      </w:r>
      <w:r w:rsidR="0035388D" w:rsidRPr="00ED4758">
        <w:rPr>
          <w:color w:val="000000"/>
          <w:lang w:val="en-GB"/>
        </w:rPr>
        <w:t xml:space="preserve"> </w:t>
      </w:r>
      <w:r w:rsidR="00976F1E">
        <w:rPr>
          <w:color w:val="000000"/>
          <w:lang w:val="en-GB"/>
        </w:rPr>
        <w:t>retail</w:t>
      </w:r>
      <w:r w:rsidRPr="00ED4758">
        <w:rPr>
          <w:color w:val="000000"/>
          <w:lang w:val="en-GB"/>
        </w:rPr>
        <w:t xml:space="preserve"> loans.</w:t>
      </w:r>
    </w:p>
    <w:p w14:paraId="350958DF" w14:textId="52C02FED" w:rsidR="007A3BE5" w:rsidRPr="00ED4758" w:rsidRDefault="007A3BE5" w:rsidP="007A3BE5">
      <w:pPr>
        <w:shd w:val="clear" w:color="auto" w:fill="FFFFFF"/>
        <w:ind w:firstLine="567"/>
        <w:jc w:val="both"/>
        <w:rPr>
          <w:color w:val="000000"/>
          <w:lang w:val="en-GB"/>
        </w:rPr>
      </w:pPr>
      <w:r w:rsidRPr="00ED4758">
        <w:rPr>
          <w:color w:val="000000"/>
          <w:lang w:val="en-GB"/>
        </w:rPr>
        <w:t xml:space="preserve">In </w:t>
      </w:r>
      <w:r w:rsidR="0035388D" w:rsidRPr="00ED4758">
        <w:rPr>
          <w:color w:val="000000"/>
          <w:lang w:val="en-GB"/>
        </w:rPr>
        <w:t xml:space="preserve">2019 </w:t>
      </w:r>
      <w:r w:rsidRPr="00ED4758">
        <w:rPr>
          <w:color w:val="000000"/>
          <w:lang w:val="en-GB"/>
        </w:rPr>
        <w:t xml:space="preserve">reporting year, the main activities </w:t>
      </w:r>
      <w:r w:rsidR="0035388D" w:rsidRPr="00ED4758">
        <w:rPr>
          <w:color w:val="000000"/>
          <w:lang w:val="en-GB"/>
        </w:rPr>
        <w:t xml:space="preserve">of the Bank </w:t>
      </w:r>
      <w:r w:rsidR="00613AC6">
        <w:rPr>
          <w:color w:val="000000"/>
          <w:lang w:val="en-GB"/>
        </w:rPr>
        <w:t>included</w:t>
      </w:r>
      <w:r w:rsidRPr="00ED4758">
        <w:rPr>
          <w:color w:val="000000"/>
          <w:lang w:val="en-GB"/>
        </w:rPr>
        <w:t xml:space="preserve"> the following banking operations:</w:t>
      </w:r>
    </w:p>
    <w:p w14:paraId="42A33475" w14:textId="63AE6EDF" w:rsidR="007A3BE5"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opening and maintaining current accounts of clients (in national and foreign currencies);</w:t>
      </w:r>
    </w:p>
    <w:p w14:paraId="0A20575B" w14:textId="303C38E4" w:rsidR="007A3BE5"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attraction of funds into deposit accounts;</w:t>
      </w:r>
    </w:p>
    <w:p w14:paraId="15C3F249" w14:textId="46015359" w:rsidR="007A3BE5"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placement of funds in correspondent accounts with other banks;</w:t>
      </w:r>
    </w:p>
    <w:p w14:paraId="1932A527" w14:textId="7DE7FE31" w:rsidR="007A3BE5"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 xml:space="preserve">transactions </w:t>
      </w:r>
      <w:r w:rsidR="00613AC6">
        <w:rPr>
          <w:color w:val="000000"/>
          <w:lang w:val="en-GB"/>
        </w:rPr>
        <w:t>on</w:t>
      </w:r>
      <w:r w:rsidRPr="00ED4758">
        <w:rPr>
          <w:color w:val="000000"/>
          <w:lang w:val="en-GB"/>
        </w:rPr>
        <w:t xml:space="preserve"> the securities market on its own behalf;</w:t>
      </w:r>
    </w:p>
    <w:p w14:paraId="21FB5E22" w14:textId="69F9B5CC" w:rsidR="0035388D"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 xml:space="preserve">purchase/sale of foreign currency on the interbank foreign exchange market of Ukraine on its own behalf and on behalf of </w:t>
      </w:r>
      <w:r w:rsidR="0035388D" w:rsidRPr="00ED4758">
        <w:rPr>
          <w:color w:val="000000"/>
          <w:lang w:val="en-GB"/>
        </w:rPr>
        <w:t xml:space="preserve">its </w:t>
      </w:r>
      <w:r w:rsidRPr="00ED4758">
        <w:rPr>
          <w:color w:val="000000"/>
          <w:lang w:val="en-GB"/>
        </w:rPr>
        <w:t>clients;</w:t>
      </w:r>
    </w:p>
    <w:p w14:paraId="4EFEAC63" w14:textId="097D35F1" w:rsidR="00B45100" w:rsidRPr="00ED4758" w:rsidRDefault="007A3BE5" w:rsidP="0022284B">
      <w:pPr>
        <w:pStyle w:val="ListParagraph"/>
        <w:numPr>
          <w:ilvl w:val="0"/>
          <w:numId w:val="3"/>
        </w:numPr>
        <w:shd w:val="clear" w:color="auto" w:fill="FFFFFF"/>
        <w:jc w:val="both"/>
        <w:rPr>
          <w:color w:val="000000"/>
          <w:lang w:val="en-GB"/>
        </w:rPr>
      </w:pPr>
      <w:r w:rsidRPr="00ED4758">
        <w:rPr>
          <w:color w:val="000000"/>
          <w:lang w:val="en-GB"/>
        </w:rPr>
        <w:t>purchase/sale of foreign currency in cash at the Bank's cash desk.</w:t>
      </w:r>
    </w:p>
    <w:p w14:paraId="3B14B7C9" w14:textId="77777777" w:rsidR="00B45100" w:rsidRPr="00ED4758" w:rsidRDefault="00B45100" w:rsidP="00BB34F9">
      <w:pPr>
        <w:shd w:val="clear" w:color="auto" w:fill="FFFFFF"/>
        <w:ind w:firstLine="567"/>
        <w:jc w:val="both"/>
        <w:rPr>
          <w:color w:val="000000"/>
          <w:highlight w:val="yellow"/>
          <w:lang w:val="en-GB"/>
        </w:rPr>
      </w:pPr>
    </w:p>
    <w:p w14:paraId="125D2C12" w14:textId="7CC6CA52" w:rsidR="00B45100" w:rsidRPr="00ED4758" w:rsidRDefault="0035388D" w:rsidP="00BB34F9">
      <w:pPr>
        <w:shd w:val="clear" w:color="auto" w:fill="FFFFFF"/>
        <w:ind w:firstLine="567"/>
        <w:jc w:val="both"/>
        <w:rPr>
          <w:b/>
          <w:color w:val="000000"/>
          <w:lang w:val="en-GB"/>
        </w:rPr>
      </w:pPr>
      <w:r w:rsidRPr="00ED4758">
        <w:rPr>
          <w:b/>
          <w:color w:val="000000"/>
          <w:lang w:val="en-GB"/>
        </w:rPr>
        <w:t>Management Goals and Strategies to Achieve These Goals</w:t>
      </w:r>
    </w:p>
    <w:p w14:paraId="714CA8FE" w14:textId="77777777" w:rsidR="0035388D" w:rsidRPr="00ED4758" w:rsidRDefault="0035388D" w:rsidP="00BB34F9">
      <w:pPr>
        <w:shd w:val="clear" w:color="auto" w:fill="FFFFFF"/>
        <w:ind w:firstLine="567"/>
        <w:jc w:val="both"/>
        <w:rPr>
          <w:b/>
          <w:color w:val="000000"/>
          <w:lang w:val="en-GB"/>
        </w:rPr>
      </w:pPr>
    </w:p>
    <w:p w14:paraId="3A198719" w14:textId="52DE5A0E" w:rsidR="0035388D" w:rsidRPr="00ED4758" w:rsidRDefault="0035388D" w:rsidP="0035388D">
      <w:pPr>
        <w:shd w:val="clear" w:color="auto" w:fill="FFFFFF"/>
        <w:ind w:firstLine="567"/>
        <w:jc w:val="both"/>
        <w:rPr>
          <w:color w:val="000000"/>
          <w:lang w:val="en-GB"/>
        </w:rPr>
      </w:pPr>
      <w:r w:rsidRPr="00ED4758">
        <w:rPr>
          <w:color w:val="000000"/>
          <w:lang w:val="en-GB"/>
        </w:rPr>
        <w:t xml:space="preserve">The Bank's mission is to create an </w:t>
      </w:r>
      <w:r w:rsidR="00613AC6">
        <w:rPr>
          <w:color w:val="000000"/>
          <w:lang w:val="en-GB"/>
        </w:rPr>
        <w:t>effective</w:t>
      </w:r>
      <w:r w:rsidRPr="00ED4758">
        <w:rPr>
          <w:color w:val="000000"/>
          <w:lang w:val="en-GB"/>
        </w:rPr>
        <w:t xml:space="preserve"> financial platform to help strengthening relationships and cooperation between Chinese and Ukrainian companies and organisations to promote mutually beneficial business. To this end, the Bank has the following advantages and opportunities:</w:t>
      </w:r>
    </w:p>
    <w:p w14:paraId="0060AAF8" w14:textId="1780D625" w:rsidR="0035388D" w:rsidRPr="00ED4758" w:rsidRDefault="0035388D" w:rsidP="0035388D">
      <w:pPr>
        <w:shd w:val="clear" w:color="auto" w:fill="FFFFFF"/>
        <w:ind w:firstLine="567"/>
        <w:jc w:val="both"/>
        <w:rPr>
          <w:color w:val="000000"/>
          <w:lang w:val="en-GB"/>
        </w:rPr>
      </w:pPr>
      <w:r w:rsidRPr="00ED4758">
        <w:rPr>
          <w:color w:val="000000"/>
          <w:lang w:val="en-GB"/>
        </w:rPr>
        <w:t xml:space="preserve">- </w:t>
      </w:r>
      <w:r w:rsidR="00613AC6">
        <w:rPr>
          <w:color w:val="000000"/>
          <w:lang w:val="en-GB"/>
        </w:rPr>
        <w:t>T</w:t>
      </w:r>
      <w:r w:rsidRPr="00ED4758">
        <w:rPr>
          <w:color w:val="000000"/>
          <w:lang w:val="en-GB"/>
        </w:rPr>
        <w:t xml:space="preserve">he Bank is the first bank </w:t>
      </w:r>
      <w:r w:rsidR="00613AC6">
        <w:rPr>
          <w:color w:val="000000"/>
          <w:lang w:val="en-GB"/>
        </w:rPr>
        <w:t>o</w:t>
      </w:r>
      <w:r w:rsidRPr="00ED4758">
        <w:rPr>
          <w:color w:val="000000"/>
          <w:lang w:val="en-GB"/>
        </w:rPr>
        <w:t>n the Ukrainian banking market to have 100% Chinese capital, which opens up huge opportunities for it to attract additional investment resources, implementation of advanced banking technologies, products and customer service standards.</w:t>
      </w:r>
    </w:p>
    <w:p w14:paraId="178B9A41" w14:textId="77777777" w:rsidR="0035388D" w:rsidRPr="00ED4758" w:rsidRDefault="0035388D" w:rsidP="0035388D">
      <w:pPr>
        <w:shd w:val="clear" w:color="auto" w:fill="FFFFFF"/>
        <w:ind w:firstLine="567"/>
        <w:jc w:val="both"/>
        <w:rPr>
          <w:color w:val="000000"/>
          <w:lang w:val="en-GB"/>
        </w:rPr>
      </w:pPr>
      <w:r w:rsidRPr="00ED4758">
        <w:rPr>
          <w:color w:val="000000"/>
          <w:lang w:val="en-GB"/>
        </w:rPr>
        <w:t>- Increasing demand from potential customers for CNY (RMB) operations.</w:t>
      </w:r>
    </w:p>
    <w:p w14:paraId="61A95EE5" w14:textId="77777777" w:rsidR="0035388D" w:rsidRPr="00ED4758" w:rsidRDefault="0035388D" w:rsidP="0035388D">
      <w:pPr>
        <w:shd w:val="clear" w:color="auto" w:fill="FFFFFF"/>
        <w:ind w:firstLine="567"/>
        <w:jc w:val="both"/>
        <w:rPr>
          <w:color w:val="000000"/>
          <w:lang w:val="en-GB"/>
        </w:rPr>
      </w:pPr>
      <w:r w:rsidRPr="00ED4758">
        <w:rPr>
          <w:color w:val="000000"/>
          <w:lang w:val="en-GB"/>
        </w:rPr>
        <w:t>- The rapid increase in demand for servicing export-import operations.</w:t>
      </w:r>
    </w:p>
    <w:p w14:paraId="39AA50A3" w14:textId="77777777" w:rsidR="0035388D" w:rsidRPr="00ED4758" w:rsidRDefault="0035388D" w:rsidP="0035388D">
      <w:pPr>
        <w:shd w:val="clear" w:color="auto" w:fill="FFFFFF"/>
        <w:ind w:firstLine="567"/>
        <w:jc w:val="both"/>
        <w:rPr>
          <w:color w:val="000000"/>
          <w:lang w:val="en-GB"/>
        </w:rPr>
      </w:pPr>
      <w:r w:rsidRPr="00ED4758">
        <w:rPr>
          <w:color w:val="000000"/>
          <w:lang w:val="en-GB"/>
        </w:rPr>
        <w:t>- Increase in Chinese investment in Ukraine.</w:t>
      </w:r>
    </w:p>
    <w:p w14:paraId="55E45A46" w14:textId="618C7C27" w:rsidR="0035388D" w:rsidRPr="00ED4758" w:rsidRDefault="0035388D" w:rsidP="0035388D">
      <w:pPr>
        <w:shd w:val="clear" w:color="auto" w:fill="FFFFFF"/>
        <w:ind w:firstLine="567"/>
        <w:jc w:val="both"/>
        <w:rPr>
          <w:color w:val="000000"/>
          <w:lang w:val="en-GB"/>
        </w:rPr>
      </w:pPr>
      <w:r w:rsidRPr="00ED4758">
        <w:rPr>
          <w:color w:val="000000"/>
          <w:lang w:val="en-GB"/>
        </w:rPr>
        <w:t>-</w:t>
      </w:r>
      <w:r w:rsidR="00613AC6">
        <w:rPr>
          <w:color w:val="000000"/>
          <w:lang w:val="en-GB"/>
        </w:rPr>
        <w:t xml:space="preserve"> </w:t>
      </w:r>
      <w:r w:rsidRPr="00ED4758">
        <w:rPr>
          <w:color w:val="000000"/>
          <w:lang w:val="en-GB"/>
        </w:rPr>
        <w:t>Significant financial and investment potential of a single shareholder, which causes high degree of trust among clients.</w:t>
      </w:r>
    </w:p>
    <w:p w14:paraId="34682033" w14:textId="6978F8E2" w:rsidR="0035388D" w:rsidRPr="00ED4758" w:rsidRDefault="0035388D" w:rsidP="0035388D">
      <w:pPr>
        <w:shd w:val="clear" w:color="auto" w:fill="FFFFFF"/>
        <w:ind w:firstLine="567"/>
        <w:jc w:val="both"/>
        <w:rPr>
          <w:color w:val="000000"/>
          <w:lang w:val="en-GB"/>
        </w:rPr>
      </w:pPr>
      <w:r w:rsidRPr="00ED4758">
        <w:rPr>
          <w:color w:val="000000"/>
          <w:lang w:val="en-GB"/>
        </w:rPr>
        <w:t xml:space="preserve">- Potential presence in the </w:t>
      </w:r>
      <w:r w:rsidR="00E4516A" w:rsidRPr="00ED4758">
        <w:rPr>
          <w:color w:val="000000"/>
          <w:lang w:val="en-GB"/>
        </w:rPr>
        <w:t xml:space="preserve">Ukrainian </w:t>
      </w:r>
      <w:r w:rsidRPr="00ED4758">
        <w:rPr>
          <w:color w:val="000000"/>
          <w:lang w:val="en-GB"/>
        </w:rPr>
        <w:t xml:space="preserve">banking market of a free niche for the strategy of support and servicing foreign economic </w:t>
      </w:r>
      <w:r w:rsidR="00613AC6">
        <w:rPr>
          <w:color w:val="000000"/>
          <w:lang w:val="en-GB"/>
        </w:rPr>
        <w:t xml:space="preserve">payment </w:t>
      </w:r>
      <w:r w:rsidRPr="00ED4758">
        <w:rPr>
          <w:color w:val="000000"/>
          <w:lang w:val="en-GB"/>
        </w:rPr>
        <w:t xml:space="preserve">settlements between the </w:t>
      </w:r>
      <w:r w:rsidR="00E4516A" w:rsidRPr="00ED4758">
        <w:rPr>
          <w:color w:val="000000"/>
          <w:lang w:val="en-GB"/>
        </w:rPr>
        <w:t xml:space="preserve">Ukrainian and Chinese </w:t>
      </w:r>
      <w:r w:rsidRPr="00ED4758">
        <w:rPr>
          <w:color w:val="000000"/>
          <w:lang w:val="en-GB"/>
        </w:rPr>
        <w:t>companies.</w:t>
      </w:r>
    </w:p>
    <w:p w14:paraId="1E5341F5" w14:textId="3A8BF33A" w:rsidR="0035388D" w:rsidRPr="00ED4758" w:rsidRDefault="0035388D" w:rsidP="0035388D">
      <w:pPr>
        <w:shd w:val="clear" w:color="auto" w:fill="FFFFFF"/>
        <w:ind w:firstLine="567"/>
        <w:jc w:val="both"/>
        <w:rPr>
          <w:color w:val="000000"/>
          <w:lang w:val="en-GB"/>
        </w:rPr>
      </w:pPr>
      <w:r w:rsidRPr="00ED4758">
        <w:rPr>
          <w:color w:val="000000"/>
          <w:lang w:val="en-GB"/>
        </w:rPr>
        <w:t xml:space="preserve">- </w:t>
      </w:r>
      <w:r w:rsidR="00613AC6">
        <w:rPr>
          <w:color w:val="000000"/>
          <w:lang w:val="en-GB"/>
        </w:rPr>
        <w:t>Enough</w:t>
      </w:r>
      <w:r w:rsidRPr="00ED4758">
        <w:rPr>
          <w:color w:val="000000"/>
          <w:lang w:val="en-GB"/>
        </w:rPr>
        <w:t xml:space="preserve"> capital adequacy enabl</w:t>
      </w:r>
      <w:r w:rsidR="00E4516A" w:rsidRPr="00ED4758">
        <w:rPr>
          <w:color w:val="000000"/>
          <w:lang w:val="en-GB"/>
        </w:rPr>
        <w:t>ing</w:t>
      </w:r>
      <w:r w:rsidRPr="00ED4758">
        <w:rPr>
          <w:color w:val="000000"/>
          <w:lang w:val="en-GB"/>
        </w:rPr>
        <w:t xml:space="preserve"> the Bank to grow its active operations.</w:t>
      </w:r>
    </w:p>
    <w:p w14:paraId="5EA291FE" w14:textId="77777777" w:rsidR="00365DB0" w:rsidRPr="00ED4758" w:rsidRDefault="00365DB0" w:rsidP="00BB34F9">
      <w:pPr>
        <w:shd w:val="clear" w:color="auto" w:fill="FFFFFF"/>
        <w:jc w:val="both"/>
        <w:rPr>
          <w:color w:val="000000"/>
          <w:highlight w:val="yellow"/>
          <w:lang w:val="en-GB"/>
        </w:rPr>
      </w:pPr>
    </w:p>
    <w:p w14:paraId="28034CAF" w14:textId="77777777" w:rsidR="00E4516A" w:rsidRPr="00ED4758" w:rsidRDefault="00E4516A" w:rsidP="00E4516A">
      <w:pPr>
        <w:ind w:firstLine="567"/>
        <w:jc w:val="both"/>
        <w:rPr>
          <w:b/>
          <w:bCs/>
          <w:color w:val="000000"/>
          <w:lang w:val="en-GB" w:eastAsia="uk-UA" w:bidi="uk-UA"/>
        </w:rPr>
      </w:pPr>
      <w:r w:rsidRPr="00ED4758">
        <w:rPr>
          <w:b/>
          <w:bCs/>
          <w:lang w:val="en-GB"/>
        </w:rPr>
        <w:t>Prospects for further development</w:t>
      </w:r>
    </w:p>
    <w:p w14:paraId="4EB176C5" w14:textId="77777777" w:rsidR="00E4516A" w:rsidRPr="00ED4758" w:rsidRDefault="00E4516A" w:rsidP="00E4516A">
      <w:pPr>
        <w:ind w:firstLine="567"/>
        <w:jc w:val="both"/>
        <w:rPr>
          <w:b/>
          <w:bCs/>
          <w:color w:val="000000"/>
          <w:lang w:val="en-GB" w:eastAsia="uk-UA" w:bidi="uk-UA"/>
        </w:rPr>
      </w:pPr>
    </w:p>
    <w:p w14:paraId="2DF29273" w14:textId="33C63CB5" w:rsidR="00E4516A" w:rsidRPr="00ED4758" w:rsidRDefault="00E4516A" w:rsidP="00E4516A">
      <w:pPr>
        <w:ind w:firstLine="567"/>
        <w:jc w:val="both"/>
        <w:rPr>
          <w:b/>
          <w:bCs/>
          <w:color w:val="000000"/>
          <w:lang w:val="en-GB" w:eastAsia="uk-UA" w:bidi="uk-UA"/>
        </w:rPr>
      </w:pPr>
      <w:r w:rsidRPr="00ED4758">
        <w:rPr>
          <w:lang w:val="en-GB"/>
        </w:rPr>
        <w:t xml:space="preserve">JSC “Ukrainian </w:t>
      </w:r>
      <w:r w:rsidR="0088489E" w:rsidRPr="00ED4758">
        <w:rPr>
          <w:lang w:val="en-GB"/>
        </w:rPr>
        <w:t>bank for reconstruction and development</w:t>
      </w:r>
      <w:r w:rsidRPr="00ED4758">
        <w:rPr>
          <w:lang w:val="en-GB"/>
        </w:rPr>
        <w:t>”, while building its business model, is focused on creating conditions for providing high-quality financial services to clients by providing products, services and platforms for promotion and facilitation of trade, economic commitments and cooperation between state institutions of China and Ukraine, business and individuals.</w:t>
      </w:r>
    </w:p>
    <w:p w14:paraId="1B3E8C22" w14:textId="128D8CB0" w:rsidR="00281BD3" w:rsidRPr="00ED4758" w:rsidRDefault="00E4516A" w:rsidP="00E4516A">
      <w:pPr>
        <w:ind w:firstLine="567"/>
        <w:jc w:val="both"/>
        <w:rPr>
          <w:b/>
          <w:bCs/>
          <w:color w:val="000000"/>
          <w:lang w:val="en-GB" w:eastAsia="uk-UA" w:bidi="uk-UA"/>
        </w:rPr>
      </w:pPr>
      <w:r w:rsidRPr="00ED4758">
        <w:rPr>
          <w:lang w:val="en-GB"/>
        </w:rPr>
        <w:lastRenderedPageBreak/>
        <w:t xml:space="preserve">JSC “Ukrainian </w:t>
      </w:r>
      <w:r w:rsidR="0088489E" w:rsidRPr="00ED4758">
        <w:rPr>
          <w:lang w:val="en-GB"/>
        </w:rPr>
        <w:t>bank for reconstruction and development</w:t>
      </w:r>
      <w:r w:rsidRPr="00ED4758">
        <w:rPr>
          <w:lang w:val="en-GB"/>
        </w:rPr>
        <w:t xml:space="preserve">” intends to become a full-service, competitive, technological and client-oriented bank. The recent partnership agreement between the Bank and </w:t>
      </w:r>
      <w:proofErr w:type="spellStart"/>
      <w:r w:rsidRPr="00ED4758">
        <w:rPr>
          <w:lang w:val="en-GB"/>
        </w:rPr>
        <w:t>Yillion</w:t>
      </w:r>
      <w:proofErr w:type="spellEnd"/>
      <w:r w:rsidRPr="00ED4758">
        <w:rPr>
          <w:lang w:val="en-GB"/>
        </w:rPr>
        <w:t xml:space="preserve"> Bank (China) opens up new growth prospects as well as an opportunity to upgrade key areas of the Bank's business.</w:t>
      </w:r>
    </w:p>
    <w:p w14:paraId="1ED8E30C" w14:textId="77777777" w:rsidR="00281BD3" w:rsidRPr="00ED4758" w:rsidRDefault="00281BD3" w:rsidP="00BB34F9">
      <w:pPr>
        <w:jc w:val="both"/>
        <w:rPr>
          <w:rStyle w:val="tlid-translation"/>
          <w:lang w:val="en-GB"/>
        </w:rPr>
      </w:pPr>
    </w:p>
    <w:p w14:paraId="52556411" w14:textId="77777777" w:rsidR="00452E41" w:rsidRPr="00ED4758" w:rsidRDefault="00452E41" w:rsidP="00452E41">
      <w:pPr>
        <w:ind w:firstLine="567"/>
        <w:jc w:val="both"/>
        <w:rPr>
          <w:color w:val="000000"/>
          <w:lang w:val="en-GB" w:eastAsia="uk-UA" w:bidi="uk-UA"/>
        </w:rPr>
      </w:pPr>
      <w:r w:rsidRPr="00ED4758">
        <w:rPr>
          <w:color w:val="000000"/>
          <w:lang w:val="en-GB" w:eastAsia="uk-UA" w:bidi="uk-UA"/>
        </w:rPr>
        <w:t>The Bank plans to develop in the following key business areas:</w:t>
      </w:r>
    </w:p>
    <w:p w14:paraId="30ECB811" w14:textId="77777777" w:rsidR="00452E41" w:rsidRPr="00ED4758" w:rsidRDefault="00452E41" w:rsidP="00452E41">
      <w:pPr>
        <w:ind w:firstLine="567"/>
        <w:jc w:val="both"/>
        <w:rPr>
          <w:b/>
          <w:bCs/>
          <w:i/>
          <w:iCs/>
          <w:color w:val="000000"/>
          <w:lang w:val="en-GB" w:eastAsia="uk-UA" w:bidi="uk-UA"/>
        </w:rPr>
      </w:pPr>
      <w:r w:rsidRPr="00ED4758">
        <w:rPr>
          <w:b/>
          <w:bCs/>
          <w:i/>
          <w:iCs/>
          <w:color w:val="000000"/>
          <w:lang w:val="en-GB" w:eastAsia="uk-UA" w:bidi="uk-UA"/>
        </w:rPr>
        <w:t>Corporate business</w:t>
      </w:r>
    </w:p>
    <w:p w14:paraId="107082D7" w14:textId="4DF6FCD7" w:rsidR="00452E41" w:rsidRPr="00ED4758" w:rsidRDefault="00452E41" w:rsidP="00452E41">
      <w:pPr>
        <w:ind w:firstLine="567"/>
        <w:jc w:val="both"/>
        <w:rPr>
          <w:color w:val="000000"/>
          <w:lang w:val="en-GB" w:eastAsia="uk-UA" w:bidi="uk-UA"/>
        </w:rPr>
      </w:pPr>
      <w:r w:rsidRPr="00ED4758">
        <w:rPr>
          <w:color w:val="000000"/>
          <w:lang w:val="en-GB" w:eastAsia="uk-UA" w:bidi="uk-UA"/>
        </w:rPr>
        <w:t xml:space="preserve">The Bank's activities will focus on providing services that will support trade between China and Ukraine, including trade finance, payments, advisory services, with the intention of becoming the main banking institution supporting trade between China and Ukraine. With the exception </w:t>
      </w:r>
      <w:r w:rsidR="0088489E">
        <w:rPr>
          <w:color w:val="000000"/>
          <w:lang w:val="en-GB" w:eastAsia="uk-UA" w:bidi="uk-UA"/>
        </w:rPr>
        <w:t>for</w:t>
      </w:r>
      <w:r w:rsidRPr="00ED4758">
        <w:rPr>
          <w:color w:val="000000"/>
          <w:lang w:val="en-GB" w:eastAsia="uk-UA" w:bidi="uk-UA"/>
        </w:rPr>
        <w:t xml:space="preserve"> trade finance instruments, the Bank does not currently intend to lend to corporate clients.</w:t>
      </w:r>
    </w:p>
    <w:p w14:paraId="19A37454" w14:textId="606FF4B8" w:rsidR="00452E41" w:rsidRPr="00ED4758" w:rsidRDefault="00452E41" w:rsidP="00452E41">
      <w:pPr>
        <w:pStyle w:val="ListParagraph"/>
        <w:tabs>
          <w:tab w:val="left" w:pos="567"/>
        </w:tabs>
        <w:ind w:left="567"/>
        <w:jc w:val="both"/>
        <w:rPr>
          <w:rStyle w:val="tlid-translation"/>
          <w:rFonts w:eastAsiaTheme="minorEastAsia"/>
          <w:b/>
          <w:bCs/>
          <w:i/>
          <w:iCs/>
          <w:lang w:val="en-GB" w:eastAsia="zh-CN"/>
        </w:rPr>
      </w:pPr>
      <w:r w:rsidRPr="00ED4758">
        <w:rPr>
          <w:rStyle w:val="tlid-translation"/>
          <w:b/>
          <w:bCs/>
          <w:i/>
          <w:iCs/>
          <w:lang w:val="en-GB"/>
        </w:rPr>
        <w:t>Support for investment and infrastructure projects</w:t>
      </w:r>
    </w:p>
    <w:p w14:paraId="3175B643" w14:textId="5F5D76F7" w:rsidR="00452E41" w:rsidRPr="00ED4758" w:rsidRDefault="00452E41" w:rsidP="00452E41">
      <w:pPr>
        <w:pStyle w:val="ListParagraph"/>
        <w:tabs>
          <w:tab w:val="left" w:pos="284"/>
        </w:tabs>
        <w:ind w:left="0" w:firstLine="567"/>
        <w:jc w:val="both"/>
        <w:rPr>
          <w:rStyle w:val="tlid-translation"/>
          <w:lang w:val="en-GB"/>
        </w:rPr>
      </w:pPr>
      <w:r w:rsidRPr="00ED4758">
        <w:rPr>
          <w:rStyle w:val="tlid-translation"/>
          <w:lang w:val="en-GB"/>
        </w:rPr>
        <w:t>The Bank will develop platforms and services to promote foreign investment, in particular Chinese, as well as infrastructure projects in Ukraine. The Bank will work to introduce or adopt new payment platforms that will benefit investors and clients in general.</w:t>
      </w:r>
    </w:p>
    <w:p w14:paraId="1E7EB1BB" w14:textId="60F5F7A4" w:rsidR="00281BD3" w:rsidRPr="00ED4758" w:rsidRDefault="00452E41" w:rsidP="00BB34F9">
      <w:pPr>
        <w:tabs>
          <w:tab w:val="left" w:pos="567"/>
        </w:tabs>
        <w:ind w:firstLine="567"/>
        <w:jc w:val="both"/>
        <w:rPr>
          <w:rFonts w:eastAsiaTheme="minorEastAsia"/>
          <w:b/>
          <w:i/>
          <w:lang w:val="en-GB" w:eastAsia="zh-CN"/>
        </w:rPr>
      </w:pPr>
      <w:r w:rsidRPr="00ED4758">
        <w:rPr>
          <w:rFonts w:eastAsiaTheme="minorEastAsia"/>
          <w:b/>
          <w:i/>
          <w:lang w:val="en-GB" w:eastAsia="zh-CN"/>
        </w:rPr>
        <w:t xml:space="preserve">Retail banking </w:t>
      </w:r>
    </w:p>
    <w:p w14:paraId="7E26AE16" w14:textId="75FE04C9" w:rsidR="00452E41" w:rsidRPr="00ED4758" w:rsidRDefault="00452E41" w:rsidP="00452E41">
      <w:pPr>
        <w:ind w:firstLine="567"/>
        <w:jc w:val="both"/>
        <w:rPr>
          <w:rStyle w:val="tlid-translation"/>
          <w:lang w:val="en-GB"/>
        </w:rPr>
      </w:pPr>
      <w:r w:rsidRPr="00ED4758">
        <w:rPr>
          <w:rStyle w:val="tlid-translation"/>
          <w:lang w:val="en-GB"/>
        </w:rPr>
        <w:t xml:space="preserve">In developing retail banking services, the Bank will rely on its local market knowledge and use of technical know-how available on the Chinese market. </w:t>
      </w:r>
      <w:proofErr w:type="spellStart"/>
      <w:r w:rsidRPr="00ED4758">
        <w:rPr>
          <w:rStyle w:val="tlid-translation"/>
          <w:lang w:val="en-GB"/>
        </w:rPr>
        <w:t>Yillion</w:t>
      </w:r>
      <w:proofErr w:type="spellEnd"/>
      <w:r w:rsidRPr="00ED4758">
        <w:rPr>
          <w:rStyle w:val="tlid-translation"/>
          <w:lang w:val="en-GB"/>
        </w:rPr>
        <w:t xml:space="preserve"> Bank's contribution, including its experience, tools, software and product design, will be a decisive factor for success in this field. JSC </w:t>
      </w:r>
      <w:r w:rsidR="003B2926" w:rsidRPr="00ED4758">
        <w:rPr>
          <w:rStyle w:val="tlid-translation"/>
          <w:lang w:val="en-GB"/>
        </w:rPr>
        <w:t>“</w:t>
      </w:r>
      <w:r w:rsidRPr="00ED4758">
        <w:rPr>
          <w:rStyle w:val="tlid-translation"/>
          <w:lang w:val="en-GB"/>
        </w:rPr>
        <w:t xml:space="preserve">Ukrainian </w:t>
      </w:r>
      <w:r w:rsidR="00A60839" w:rsidRPr="00ED4758">
        <w:rPr>
          <w:rStyle w:val="tlid-translation"/>
          <w:lang w:val="en-GB"/>
        </w:rPr>
        <w:t>bank for reconstruction and development</w:t>
      </w:r>
      <w:r w:rsidR="003B2926" w:rsidRPr="00ED4758">
        <w:rPr>
          <w:rStyle w:val="tlid-translation"/>
          <w:lang w:val="en-GB"/>
        </w:rPr>
        <w:t>”</w:t>
      </w:r>
      <w:r w:rsidRPr="00ED4758">
        <w:rPr>
          <w:rStyle w:val="tlid-translation"/>
          <w:lang w:val="en-GB"/>
        </w:rPr>
        <w:t xml:space="preserve"> will focus on providing digital services to take full advantage of modern technology and provid</w:t>
      </w:r>
      <w:r w:rsidR="003B2926" w:rsidRPr="00ED4758">
        <w:rPr>
          <w:rStyle w:val="tlid-translation"/>
          <w:lang w:val="en-GB"/>
        </w:rPr>
        <w:t xml:space="preserve">ing </w:t>
      </w:r>
      <w:r w:rsidRPr="00ED4758">
        <w:rPr>
          <w:rStyle w:val="tlid-translation"/>
          <w:lang w:val="en-GB"/>
        </w:rPr>
        <w:t>convenience to the customer.</w:t>
      </w:r>
    </w:p>
    <w:p w14:paraId="025130A9" w14:textId="62610B5C" w:rsidR="003B2926" w:rsidRPr="00ED4758" w:rsidRDefault="003B2926" w:rsidP="00BB34F9">
      <w:pPr>
        <w:ind w:firstLine="567"/>
        <w:jc w:val="both"/>
        <w:rPr>
          <w:rStyle w:val="tlid-translation"/>
          <w:lang w:val="en-GB"/>
        </w:rPr>
      </w:pPr>
      <w:r w:rsidRPr="00ED4758">
        <w:rPr>
          <w:rStyle w:val="tlid-translation"/>
          <w:lang w:val="en-GB"/>
        </w:rPr>
        <w:t>Services to private clients will include lending (sales financing, cash loans), customer deposits and payments. The Bank will work with local and global market players to create unique customer opportunities for financing sales, online purchases, money transfers (including foreign money transfers) etc. The Bank will rely on macroeconomic data, forecasting and performance assessment tools to create and modify its product portfolio, target audience, launch dates, distribution channels and platform services (cards/desktops/smartphones).</w:t>
      </w:r>
    </w:p>
    <w:p w14:paraId="2792DFD2" w14:textId="1A5AEE67" w:rsidR="003B2926" w:rsidRPr="00ED4758" w:rsidRDefault="003B2926" w:rsidP="003B2926">
      <w:pPr>
        <w:ind w:firstLine="567"/>
        <w:jc w:val="both"/>
        <w:rPr>
          <w:lang w:val="en-GB"/>
        </w:rPr>
      </w:pPr>
      <w:r w:rsidRPr="00ED4758">
        <w:rPr>
          <w:color w:val="000000"/>
          <w:lang w:val="en-GB"/>
        </w:rPr>
        <w:t xml:space="preserve">“Business plan </w:t>
      </w:r>
      <w:r w:rsidR="00A60839">
        <w:rPr>
          <w:color w:val="000000"/>
          <w:lang w:val="en-GB"/>
        </w:rPr>
        <w:t>with</w:t>
      </w:r>
      <w:r w:rsidR="00A60839" w:rsidRPr="00ED4758">
        <w:rPr>
          <w:color w:val="000000"/>
          <w:lang w:val="en-GB"/>
        </w:rPr>
        <w:t xml:space="preserve"> </w:t>
      </w:r>
      <w:r w:rsidRPr="00ED4758">
        <w:rPr>
          <w:color w:val="000000"/>
          <w:lang w:val="en-GB"/>
        </w:rPr>
        <w:t xml:space="preserve">economic feasibility of raising funds on the basis of subordinated debt and the program of capitalisation of Joint Stock Company “Ukrainian </w:t>
      </w:r>
      <w:r w:rsidR="00A60839" w:rsidRPr="00ED4758">
        <w:rPr>
          <w:color w:val="000000"/>
          <w:lang w:val="en-GB"/>
        </w:rPr>
        <w:t>bank for reconstruction and development</w:t>
      </w:r>
      <w:r w:rsidRPr="00ED4758">
        <w:rPr>
          <w:color w:val="000000"/>
          <w:lang w:val="en-GB"/>
        </w:rPr>
        <w:t xml:space="preserve">” for 2020 – 2027”, approved by the </w:t>
      </w:r>
      <w:r w:rsidR="00A60839">
        <w:rPr>
          <w:color w:val="000000"/>
          <w:lang w:val="en-GB"/>
        </w:rPr>
        <w:t>Executive Board,</w:t>
      </w:r>
      <w:r w:rsidRPr="00ED4758">
        <w:rPr>
          <w:color w:val="000000"/>
          <w:lang w:val="en-GB"/>
        </w:rPr>
        <w:t xml:space="preserve"> Minutes No. 11 of 02.03.2020 and the decision of the Supervisory Board No. 5/2018 dated 02.03.2020 (hereinafter referred to as “the Bank's Business Plan”) provides that the key banking products will be:</w:t>
      </w:r>
    </w:p>
    <w:p w14:paraId="26010BB6" w14:textId="2D78A509" w:rsidR="00D44AC8" w:rsidRPr="00ED4758" w:rsidRDefault="003B2926" w:rsidP="0022284B">
      <w:pPr>
        <w:pStyle w:val="ListParagraph"/>
        <w:numPr>
          <w:ilvl w:val="0"/>
          <w:numId w:val="3"/>
        </w:numPr>
        <w:shd w:val="clear" w:color="auto" w:fill="FFFFFF"/>
        <w:jc w:val="both"/>
        <w:rPr>
          <w:color w:val="000000"/>
          <w:lang w:val="en-GB"/>
        </w:rPr>
      </w:pPr>
      <w:r w:rsidRPr="00ED4758">
        <w:rPr>
          <w:color w:val="000000"/>
          <w:lang w:val="en-GB"/>
        </w:rPr>
        <w:t xml:space="preserve">implementation of remote </w:t>
      </w:r>
      <w:r w:rsidR="00DC3538" w:rsidRPr="00ED4758">
        <w:rPr>
          <w:color w:val="000000"/>
          <w:lang w:val="en-GB"/>
        </w:rPr>
        <w:t>customer paymen</w:t>
      </w:r>
      <w:r w:rsidR="00A60839">
        <w:rPr>
          <w:color w:val="000000"/>
          <w:lang w:val="en-GB"/>
        </w:rPr>
        <w:t>t</w:t>
      </w:r>
      <w:r w:rsidR="009D2937" w:rsidRPr="00ED4758">
        <w:rPr>
          <w:color w:val="000000"/>
          <w:lang w:val="en-GB"/>
        </w:rPr>
        <w:t xml:space="preserve"> settlement</w:t>
      </w:r>
      <w:r w:rsidR="00DC3538" w:rsidRPr="00ED4758">
        <w:rPr>
          <w:color w:val="000000"/>
          <w:lang w:val="en-GB"/>
        </w:rPr>
        <w:t xml:space="preserve"> </w:t>
      </w:r>
      <w:r w:rsidRPr="00ED4758">
        <w:rPr>
          <w:color w:val="000000"/>
          <w:lang w:val="en-GB"/>
        </w:rPr>
        <w:t>services;</w:t>
      </w:r>
    </w:p>
    <w:p w14:paraId="04517969" w14:textId="4DB4F19B" w:rsidR="00D44AC8" w:rsidRPr="00ED4758" w:rsidRDefault="003B2926" w:rsidP="0022284B">
      <w:pPr>
        <w:pStyle w:val="ListParagraph"/>
        <w:numPr>
          <w:ilvl w:val="0"/>
          <w:numId w:val="3"/>
        </w:numPr>
        <w:shd w:val="clear" w:color="auto" w:fill="FFFFFF"/>
        <w:jc w:val="both"/>
        <w:rPr>
          <w:color w:val="000000"/>
          <w:lang w:val="en-GB"/>
        </w:rPr>
      </w:pPr>
      <w:r w:rsidRPr="00ED4758">
        <w:rPr>
          <w:color w:val="000000"/>
          <w:lang w:val="en-GB"/>
        </w:rPr>
        <w:t xml:space="preserve">providing foreign </w:t>
      </w:r>
      <w:r w:rsidR="00DC3538" w:rsidRPr="00ED4758">
        <w:rPr>
          <w:color w:val="000000"/>
          <w:lang w:val="en-GB"/>
        </w:rPr>
        <w:t>currency</w:t>
      </w:r>
      <w:r w:rsidRPr="00ED4758">
        <w:rPr>
          <w:color w:val="000000"/>
          <w:lang w:val="en-GB"/>
        </w:rPr>
        <w:t xml:space="preserve"> financial </w:t>
      </w:r>
      <w:r w:rsidR="00DC3538" w:rsidRPr="00ED4758">
        <w:rPr>
          <w:color w:val="000000"/>
          <w:lang w:val="en-GB"/>
        </w:rPr>
        <w:t xml:space="preserve">payment </w:t>
      </w:r>
      <w:r w:rsidRPr="00ED4758">
        <w:rPr>
          <w:color w:val="000000"/>
          <w:lang w:val="en-GB"/>
        </w:rPr>
        <w:t>services for cross-border trade between China and Ukraine;</w:t>
      </w:r>
    </w:p>
    <w:p w14:paraId="466CED43" w14:textId="77777777" w:rsidR="00D44AC8" w:rsidRPr="00ED4758" w:rsidRDefault="003B2926" w:rsidP="0022284B">
      <w:pPr>
        <w:pStyle w:val="ListParagraph"/>
        <w:numPr>
          <w:ilvl w:val="0"/>
          <w:numId w:val="3"/>
        </w:numPr>
        <w:shd w:val="clear" w:color="auto" w:fill="FFFFFF"/>
        <w:jc w:val="both"/>
        <w:rPr>
          <w:color w:val="000000"/>
          <w:lang w:val="en-GB"/>
        </w:rPr>
      </w:pPr>
      <w:r w:rsidRPr="00ED4758">
        <w:rPr>
          <w:color w:val="000000"/>
          <w:lang w:val="en-GB"/>
        </w:rPr>
        <w:t>lending to individuals.</w:t>
      </w:r>
    </w:p>
    <w:p w14:paraId="181BFD50" w14:textId="77777777" w:rsidR="0044460F" w:rsidRPr="00ED4758" w:rsidRDefault="0044460F" w:rsidP="00BB34F9">
      <w:pPr>
        <w:pStyle w:val="ListParagraph"/>
        <w:shd w:val="clear" w:color="auto" w:fill="FFFFFF"/>
        <w:ind w:left="0" w:firstLine="567"/>
        <w:jc w:val="both"/>
        <w:rPr>
          <w:color w:val="000000"/>
          <w:lang w:val="en-GB"/>
        </w:rPr>
      </w:pPr>
    </w:p>
    <w:p w14:paraId="5DFCA7A4" w14:textId="66EE9FA1" w:rsidR="002024AB" w:rsidRPr="00ED4758" w:rsidRDefault="002024AB" w:rsidP="002024AB">
      <w:pPr>
        <w:pStyle w:val="ListParagraph"/>
        <w:shd w:val="clear" w:color="auto" w:fill="FFFFFF"/>
        <w:ind w:left="0" w:firstLine="709"/>
        <w:jc w:val="both"/>
        <w:rPr>
          <w:color w:val="000000"/>
          <w:lang w:val="en-GB" w:eastAsia="uz-Cyrl-UZ"/>
        </w:rPr>
      </w:pPr>
      <w:r w:rsidRPr="00ED4758">
        <w:rPr>
          <w:color w:val="000000"/>
          <w:lang w:val="en-GB" w:eastAsia="uz-Cyrl-UZ"/>
        </w:rPr>
        <w:t xml:space="preserve">The main strategic goals of </w:t>
      </w:r>
      <w:r w:rsidR="00A60839">
        <w:rPr>
          <w:color w:val="000000"/>
          <w:lang w:val="en-GB" w:eastAsia="uz-Cyrl-UZ"/>
        </w:rPr>
        <w:t xml:space="preserve">the </w:t>
      </w:r>
      <w:r w:rsidRPr="00ED4758">
        <w:rPr>
          <w:color w:val="000000"/>
          <w:lang w:val="en-GB" w:eastAsia="uz-Cyrl-UZ"/>
        </w:rPr>
        <w:t>management:</w:t>
      </w:r>
    </w:p>
    <w:p w14:paraId="40B82BC0" w14:textId="47A19D11"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Increase of capital competitiveness and activities efficiency.</w:t>
      </w:r>
    </w:p>
    <w:p w14:paraId="7473312D" w14:textId="363691E0"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Ensuring financial sustainability, optimum level of solvency and liquidity.</w:t>
      </w:r>
    </w:p>
    <w:p w14:paraId="02326FAE" w14:textId="2D006C71"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Ensuring protection of equity and borrowed funds against risks.</w:t>
      </w:r>
    </w:p>
    <w:p w14:paraId="63F32214" w14:textId="3CB094A6"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Increasing the innovativeness of services and products provided by the Bank.</w:t>
      </w:r>
    </w:p>
    <w:p w14:paraId="016F3822" w14:textId="7C2A9B76"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Bringing the Bank to a new high-tech level of banking services.</w:t>
      </w:r>
    </w:p>
    <w:p w14:paraId="22C912D2" w14:textId="5F647E77"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t>Strengthening and reinforcement of the Bank, increasing the Bank's share in the banking services market.</w:t>
      </w:r>
    </w:p>
    <w:p w14:paraId="024A49FB" w14:textId="27C5385A" w:rsidR="002024AB" w:rsidRPr="00ED4758" w:rsidRDefault="002024AB" w:rsidP="0022284B">
      <w:pPr>
        <w:pStyle w:val="ListParagraph"/>
        <w:numPr>
          <w:ilvl w:val="0"/>
          <w:numId w:val="4"/>
        </w:numPr>
        <w:shd w:val="clear" w:color="auto" w:fill="FFFFFF"/>
        <w:jc w:val="both"/>
        <w:rPr>
          <w:color w:val="000000"/>
          <w:lang w:val="en-GB" w:eastAsia="uz-Cyrl-UZ"/>
        </w:rPr>
      </w:pPr>
      <w:r w:rsidRPr="00ED4758">
        <w:rPr>
          <w:color w:val="000000"/>
          <w:lang w:val="en-GB" w:eastAsia="uz-Cyrl-UZ"/>
        </w:rPr>
        <w:lastRenderedPageBreak/>
        <w:t>Establishment of the Bank as a financial institution providing financial support for economic and trade development between China and Ukraine through the provision of inexpensive and efficient payment settlement services in RMB.</w:t>
      </w:r>
    </w:p>
    <w:p w14:paraId="7440CDA3" w14:textId="77777777" w:rsidR="002024AB" w:rsidRPr="00ED4758" w:rsidRDefault="002024AB" w:rsidP="00BB34F9">
      <w:pPr>
        <w:pStyle w:val="ListParagraph"/>
        <w:shd w:val="clear" w:color="auto" w:fill="FFFFFF" w:themeFill="background1"/>
        <w:ind w:left="567"/>
        <w:jc w:val="both"/>
        <w:rPr>
          <w:color w:val="000000"/>
          <w:lang w:val="en-GB" w:eastAsia="uz-Cyrl-UZ"/>
        </w:rPr>
      </w:pPr>
    </w:p>
    <w:p w14:paraId="2768ECB5" w14:textId="154A8FB2" w:rsidR="001B21DC" w:rsidRPr="00ED4758" w:rsidRDefault="001B21DC" w:rsidP="001B21DC">
      <w:pPr>
        <w:pStyle w:val="ListParagraph"/>
        <w:shd w:val="clear" w:color="auto" w:fill="FFFFFF" w:themeFill="background1"/>
        <w:ind w:left="567"/>
        <w:jc w:val="both"/>
        <w:rPr>
          <w:color w:val="000000"/>
          <w:lang w:val="en-GB" w:eastAsia="uz-Cyrl-UZ"/>
        </w:rPr>
      </w:pPr>
      <w:r w:rsidRPr="00ED4758">
        <w:rPr>
          <w:color w:val="000000"/>
          <w:lang w:val="en-GB" w:eastAsia="uz-Cyrl-UZ"/>
        </w:rPr>
        <w:t>These goals will be reali</w:t>
      </w:r>
      <w:r w:rsidR="00A60839">
        <w:rPr>
          <w:color w:val="000000"/>
          <w:lang w:val="en-GB" w:eastAsia="uz-Cyrl-UZ"/>
        </w:rPr>
        <w:t>s</w:t>
      </w:r>
      <w:r w:rsidRPr="00ED4758">
        <w:rPr>
          <w:color w:val="000000"/>
          <w:lang w:val="en-GB" w:eastAsia="uz-Cyrl-UZ"/>
        </w:rPr>
        <w:t>ed through:</w:t>
      </w:r>
    </w:p>
    <w:p w14:paraId="7F4D960B" w14:textId="45B492A1"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moderni</w:t>
      </w:r>
      <w:r w:rsidR="00A60839">
        <w:rPr>
          <w:color w:val="000000"/>
          <w:lang w:val="en-GB" w:eastAsia="uz-Cyrl-UZ"/>
        </w:rPr>
        <w:t>s</w:t>
      </w:r>
      <w:r w:rsidRPr="00ED4758">
        <w:rPr>
          <w:color w:val="000000"/>
          <w:lang w:val="en-GB" w:eastAsia="uz-Cyrl-UZ"/>
        </w:rPr>
        <w:t>ation of the material and technical base of the Bank and introduction of new IT systems;</w:t>
      </w:r>
    </w:p>
    <w:p w14:paraId="5E823056" w14:textId="6BC4ECBD"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improvement/optimi</w:t>
      </w:r>
      <w:r w:rsidR="00A60839">
        <w:rPr>
          <w:color w:val="000000"/>
          <w:lang w:val="en-GB" w:eastAsia="uz-Cyrl-UZ"/>
        </w:rPr>
        <w:t>s</w:t>
      </w:r>
      <w:r w:rsidRPr="00ED4758">
        <w:rPr>
          <w:color w:val="000000"/>
          <w:lang w:val="en-GB" w:eastAsia="uz-Cyrl-UZ"/>
        </w:rPr>
        <w:t>ation/automation of internal technologies and processes to reduce costs, improve quality and speed of service;</w:t>
      </w:r>
    </w:p>
    <w:p w14:paraId="43853553" w14:textId="6EF80B75"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implementation and maintenance of high standards of banking service;</w:t>
      </w:r>
    </w:p>
    <w:p w14:paraId="685B8213" w14:textId="3CDC89F4"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analysis of banking risks and continuous improvement of the risk management system;</w:t>
      </w:r>
    </w:p>
    <w:p w14:paraId="1999F356" w14:textId="73A5389E"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increase of profitability of banking operations;</w:t>
      </w:r>
    </w:p>
    <w:p w14:paraId="4218FB51" w14:textId="5FF5094B"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 xml:space="preserve">increasing in lending through cash activation and </w:t>
      </w:r>
      <w:r w:rsidR="00A60839">
        <w:rPr>
          <w:color w:val="000000"/>
          <w:lang w:val="en-GB" w:eastAsia="uz-Cyrl-UZ"/>
        </w:rPr>
        <w:t>retail</w:t>
      </w:r>
      <w:r w:rsidRPr="00ED4758">
        <w:rPr>
          <w:color w:val="000000"/>
          <w:lang w:val="en-GB" w:eastAsia="uz-Cyrl-UZ"/>
        </w:rPr>
        <w:t xml:space="preserve"> </w:t>
      </w:r>
      <w:r w:rsidR="00A60839">
        <w:rPr>
          <w:color w:val="000000"/>
          <w:lang w:val="en-GB" w:eastAsia="uz-Cyrl-UZ"/>
        </w:rPr>
        <w:t>loans</w:t>
      </w:r>
      <w:r w:rsidRPr="00ED4758">
        <w:rPr>
          <w:color w:val="000000"/>
          <w:lang w:val="en-GB" w:eastAsia="uz-Cyrl-UZ"/>
        </w:rPr>
        <w:t>;</w:t>
      </w:r>
    </w:p>
    <w:p w14:paraId="536E1A6E" w14:textId="77E81A1B"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implementation of the scoring system;</w:t>
      </w:r>
    </w:p>
    <w:p w14:paraId="41F8DD28" w14:textId="1E3E79BE"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development of remote sales channels (online short-term lending, remote account management, online e-commerce platforms, etc.)</w:t>
      </w:r>
    </w:p>
    <w:p w14:paraId="0349104A" w14:textId="5DD13248"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establishment of payment channels in RMB;</w:t>
      </w:r>
    </w:p>
    <w:p w14:paraId="2502A8AC" w14:textId="09378106"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continued creation of a client-oriented organisational structure in line with international standards;</w:t>
      </w:r>
    </w:p>
    <w:p w14:paraId="564BD697" w14:textId="56725F28" w:rsidR="001B21DC" w:rsidRPr="00ED4758" w:rsidRDefault="001B21DC" w:rsidP="0022284B">
      <w:pPr>
        <w:pStyle w:val="ListParagraph"/>
        <w:numPr>
          <w:ilvl w:val="1"/>
          <w:numId w:val="5"/>
        </w:numPr>
        <w:shd w:val="clear" w:color="auto" w:fill="FFFFFF" w:themeFill="background1"/>
        <w:jc w:val="both"/>
        <w:rPr>
          <w:color w:val="000000"/>
          <w:lang w:val="en-GB" w:eastAsia="uz-Cyrl-UZ"/>
        </w:rPr>
      </w:pPr>
      <w:r w:rsidRPr="00ED4758">
        <w:rPr>
          <w:color w:val="000000"/>
          <w:lang w:val="en-GB" w:eastAsia="uz-Cyrl-UZ"/>
        </w:rPr>
        <w:t>recruitment of employees and specialists with experience in development of certain specialised areas of work of the Bank, including experience in international financial institutions.</w:t>
      </w:r>
    </w:p>
    <w:p w14:paraId="586AE429" w14:textId="77777777" w:rsidR="00B82444" w:rsidRPr="00ED4758" w:rsidRDefault="00B82444" w:rsidP="00BB34F9">
      <w:pPr>
        <w:ind w:firstLine="567"/>
        <w:jc w:val="both"/>
        <w:rPr>
          <w:highlight w:val="yellow"/>
          <w:lang w:val="en-GB"/>
        </w:rPr>
      </w:pPr>
    </w:p>
    <w:p w14:paraId="66AF4CA0" w14:textId="2DE906A3" w:rsidR="001B21DC" w:rsidRPr="00ED4758" w:rsidRDefault="001B21DC" w:rsidP="001B21DC">
      <w:pPr>
        <w:ind w:firstLine="567"/>
        <w:jc w:val="both"/>
        <w:rPr>
          <w:lang w:val="en-GB"/>
        </w:rPr>
      </w:pPr>
      <w:r w:rsidRPr="00ED4758">
        <w:rPr>
          <w:lang w:val="en-GB"/>
        </w:rPr>
        <w:t xml:space="preserve">In the reporting year, the organisational structure of the Bank was aligned with the requirements of the Regulation on the Organisation of Risk Management System in Banks of Ukraine and Banking Groups, approved by the Resolution of the </w:t>
      </w:r>
      <w:r w:rsidR="000B3A7A" w:rsidRPr="00ED4758">
        <w:rPr>
          <w:lang w:val="en-GB"/>
        </w:rPr>
        <w:t xml:space="preserve">Board of the </w:t>
      </w:r>
      <w:r w:rsidRPr="00ED4758">
        <w:rPr>
          <w:lang w:val="en-GB"/>
        </w:rPr>
        <w:t>National Bank of Ukraine No. 64, dated June 11, 2018 (as amended) and taking into account the provisions of the Methodological Recommendations on the organi</w:t>
      </w:r>
      <w:r w:rsidR="000B3A7A" w:rsidRPr="00ED4758">
        <w:rPr>
          <w:lang w:val="en-GB"/>
        </w:rPr>
        <w:t>s</w:t>
      </w:r>
      <w:r w:rsidRPr="00ED4758">
        <w:rPr>
          <w:lang w:val="en-GB"/>
        </w:rPr>
        <w:t>ation of corporate governance in banks of Ukraine (approved by the decision of the Board of the National Bank of Ukraine No. 814-rsh dated 03.12.2018) regarding corporate governance, in particular</w:t>
      </w:r>
      <w:r w:rsidR="000B3A7A" w:rsidRPr="00ED4758">
        <w:rPr>
          <w:lang w:val="en-GB"/>
        </w:rPr>
        <w:t>, in the part of</w:t>
      </w:r>
      <w:r w:rsidRPr="00ED4758">
        <w:rPr>
          <w:lang w:val="en-GB"/>
        </w:rPr>
        <w:t xml:space="preserve"> functions of </w:t>
      </w:r>
      <w:r w:rsidR="000B3A7A" w:rsidRPr="00ED4758">
        <w:rPr>
          <w:lang w:val="en-GB"/>
        </w:rPr>
        <w:t xml:space="preserve">the management bodies of the Bank </w:t>
      </w:r>
      <w:r w:rsidR="00620140">
        <w:rPr>
          <w:lang w:val="en-GB"/>
        </w:rPr>
        <w:t>by establishment of the</w:t>
      </w:r>
      <w:r w:rsidR="000B3A7A" w:rsidRPr="00ED4758">
        <w:rPr>
          <w:lang w:val="en-GB"/>
        </w:rPr>
        <w:t xml:space="preserve"> </w:t>
      </w:r>
      <w:r w:rsidRPr="00ED4758">
        <w:rPr>
          <w:lang w:val="en-GB"/>
        </w:rPr>
        <w:t>Corporate Secretary</w:t>
      </w:r>
      <w:r w:rsidR="000B3A7A" w:rsidRPr="00ED4758">
        <w:rPr>
          <w:lang w:val="en-GB"/>
        </w:rPr>
        <w:t xml:space="preserve"> service</w:t>
      </w:r>
      <w:r w:rsidRPr="00ED4758">
        <w:rPr>
          <w:lang w:val="en-GB"/>
        </w:rPr>
        <w:t xml:space="preserve">, the Supervisory Board committees, namely the </w:t>
      </w:r>
      <w:r w:rsidR="000B3A7A" w:rsidRPr="00ED4758">
        <w:rPr>
          <w:lang w:val="en-GB"/>
        </w:rPr>
        <w:t xml:space="preserve">Risk Management </w:t>
      </w:r>
      <w:r w:rsidRPr="00ED4758">
        <w:rPr>
          <w:lang w:val="en-GB"/>
        </w:rPr>
        <w:t xml:space="preserve">Committee and </w:t>
      </w:r>
      <w:r w:rsidR="000B3A7A" w:rsidRPr="00ED4758">
        <w:rPr>
          <w:lang w:val="en-GB"/>
        </w:rPr>
        <w:t xml:space="preserve">the </w:t>
      </w:r>
      <w:r w:rsidRPr="00ED4758">
        <w:rPr>
          <w:lang w:val="en-GB"/>
        </w:rPr>
        <w:t xml:space="preserve">Audit Committee. </w:t>
      </w:r>
      <w:r w:rsidR="000B3A7A" w:rsidRPr="00ED4758">
        <w:rPr>
          <w:lang w:val="en-GB"/>
        </w:rPr>
        <w:t>In the reporting year t</w:t>
      </w:r>
      <w:r w:rsidRPr="00ED4758">
        <w:rPr>
          <w:lang w:val="en-GB"/>
        </w:rPr>
        <w:t xml:space="preserve">he Bank introduced </w:t>
      </w:r>
      <w:r w:rsidR="000B3A7A" w:rsidRPr="00ED4758">
        <w:rPr>
          <w:lang w:val="en-GB"/>
        </w:rPr>
        <w:t>the</w:t>
      </w:r>
      <w:r w:rsidRPr="00ED4758">
        <w:rPr>
          <w:lang w:val="en-GB"/>
        </w:rPr>
        <w:t xml:space="preserve"> compliance system and mechanisms for managing compliance risk.</w:t>
      </w:r>
    </w:p>
    <w:p w14:paraId="6E1B7D26" w14:textId="6127DF72" w:rsidR="001B21DC" w:rsidRPr="00ED4758" w:rsidRDefault="001B21DC" w:rsidP="001B21DC">
      <w:pPr>
        <w:ind w:firstLine="567"/>
        <w:jc w:val="both"/>
        <w:rPr>
          <w:lang w:val="en-GB"/>
        </w:rPr>
      </w:pPr>
      <w:r w:rsidRPr="00ED4758">
        <w:rPr>
          <w:lang w:val="en-GB"/>
        </w:rPr>
        <w:t>Further improvement of the Bank's organi</w:t>
      </w:r>
      <w:r w:rsidR="000B3A7A" w:rsidRPr="00ED4758">
        <w:rPr>
          <w:lang w:val="en-GB"/>
        </w:rPr>
        <w:t>s</w:t>
      </w:r>
      <w:r w:rsidRPr="00ED4758">
        <w:rPr>
          <w:lang w:val="en-GB"/>
        </w:rPr>
        <w:t>ational structure will be undertaken with clear functional speciali</w:t>
      </w:r>
      <w:r w:rsidR="000B3A7A" w:rsidRPr="00ED4758">
        <w:rPr>
          <w:lang w:val="en-GB"/>
        </w:rPr>
        <w:t>s</w:t>
      </w:r>
      <w:r w:rsidRPr="00ED4758">
        <w:rPr>
          <w:lang w:val="en-GB"/>
        </w:rPr>
        <w:t>ation and close coordination of the activities</w:t>
      </w:r>
      <w:r w:rsidR="000B3A7A" w:rsidRPr="00ED4758">
        <w:rPr>
          <w:lang w:val="en-GB"/>
        </w:rPr>
        <w:t xml:space="preserve"> of departments</w:t>
      </w:r>
      <w:r w:rsidRPr="00ED4758">
        <w:rPr>
          <w:lang w:val="en-GB"/>
        </w:rPr>
        <w:t xml:space="preserve">, use of principles of </w:t>
      </w:r>
      <w:r w:rsidR="000B3A7A" w:rsidRPr="00ED4758">
        <w:rPr>
          <w:lang w:val="en-GB"/>
        </w:rPr>
        <w:t xml:space="preserve">conflict of </w:t>
      </w:r>
      <w:r w:rsidR="00620140" w:rsidRPr="00ED4758">
        <w:rPr>
          <w:lang w:val="en-GB"/>
        </w:rPr>
        <w:t>interests’</w:t>
      </w:r>
      <w:r w:rsidR="000B3A7A" w:rsidRPr="00ED4758">
        <w:rPr>
          <w:lang w:val="en-GB"/>
        </w:rPr>
        <w:t xml:space="preserve"> exclusion</w:t>
      </w:r>
      <w:r w:rsidRPr="00ED4758">
        <w:rPr>
          <w:lang w:val="en-GB"/>
        </w:rPr>
        <w:t>, competitiveness and economic stimulation of results</w:t>
      </w:r>
      <w:r w:rsidR="000B3A7A" w:rsidRPr="00ED4758">
        <w:rPr>
          <w:lang w:val="en-GB"/>
        </w:rPr>
        <w:t xml:space="preserve"> achievement</w:t>
      </w:r>
      <w:r w:rsidRPr="00ED4758">
        <w:rPr>
          <w:lang w:val="en-GB"/>
        </w:rPr>
        <w:t>.</w:t>
      </w:r>
    </w:p>
    <w:p w14:paraId="6C1DFDC2" w14:textId="598235C7" w:rsidR="001B21DC" w:rsidRPr="00ED4758" w:rsidRDefault="001B21DC" w:rsidP="001B21DC">
      <w:pPr>
        <w:ind w:firstLine="567"/>
        <w:jc w:val="both"/>
        <w:rPr>
          <w:lang w:val="en-GB"/>
        </w:rPr>
      </w:pPr>
      <w:r w:rsidRPr="00ED4758">
        <w:rPr>
          <w:lang w:val="en-GB"/>
        </w:rPr>
        <w:t>The development of activities and the activation of business processes will lead to gradual changes and transformation of the organi</w:t>
      </w:r>
      <w:r w:rsidR="00013294" w:rsidRPr="00ED4758">
        <w:rPr>
          <w:lang w:val="en-GB"/>
        </w:rPr>
        <w:t>s</w:t>
      </w:r>
      <w:r w:rsidRPr="00ED4758">
        <w:rPr>
          <w:lang w:val="en-GB"/>
        </w:rPr>
        <w:t>ational structure.</w:t>
      </w:r>
    </w:p>
    <w:p w14:paraId="52B7339D" w14:textId="77777777" w:rsidR="00B45100" w:rsidRPr="00ED4758" w:rsidRDefault="00B45100" w:rsidP="00BB34F9">
      <w:pPr>
        <w:pStyle w:val="NormalWeb"/>
        <w:tabs>
          <w:tab w:val="left" w:pos="3969"/>
          <w:tab w:val="left" w:pos="4111"/>
        </w:tabs>
        <w:spacing w:before="0" w:beforeAutospacing="0" w:after="120" w:afterAutospacing="0"/>
        <w:ind w:firstLine="567"/>
        <w:jc w:val="both"/>
        <w:rPr>
          <w:color w:val="000000"/>
          <w:highlight w:val="yellow"/>
          <w:lang w:val="en-GB"/>
        </w:rPr>
      </w:pPr>
    </w:p>
    <w:p w14:paraId="1CDE5127" w14:textId="2D8CF224" w:rsidR="00B45100" w:rsidRPr="00ED4758" w:rsidRDefault="00013294" w:rsidP="00BB34F9">
      <w:pPr>
        <w:rPr>
          <w:b/>
          <w:lang w:val="en-GB"/>
        </w:rPr>
      </w:pPr>
      <w:r w:rsidRPr="00ED4758">
        <w:rPr>
          <w:b/>
          <w:lang w:val="en-GB"/>
        </w:rPr>
        <w:t>Resources, risks and relationships</w:t>
      </w:r>
    </w:p>
    <w:p w14:paraId="736CABDA" w14:textId="77777777" w:rsidR="00013294" w:rsidRPr="00ED4758" w:rsidRDefault="00013294" w:rsidP="00013294">
      <w:pPr>
        <w:ind w:firstLine="567"/>
        <w:jc w:val="both"/>
        <w:rPr>
          <w:lang w:val="en-GB"/>
        </w:rPr>
      </w:pPr>
    </w:p>
    <w:p w14:paraId="2B09BA24" w14:textId="77777777" w:rsidR="00013294" w:rsidRPr="00ED4758" w:rsidRDefault="00013294" w:rsidP="00013294">
      <w:pPr>
        <w:ind w:firstLine="567"/>
        <w:jc w:val="both"/>
        <w:rPr>
          <w:lang w:val="en-GB"/>
        </w:rPr>
      </w:pPr>
      <w:r w:rsidRPr="00ED4758">
        <w:rPr>
          <w:lang w:val="en-GB"/>
        </w:rPr>
        <w:t>The Bank's key financial resources are borrowed funds from legal entities and individuals, as well as own funds (equity) that are at the disposal of the Bank and are used for active operations.</w:t>
      </w:r>
    </w:p>
    <w:p w14:paraId="2F36B8F1" w14:textId="3E697BBA" w:rsidR="00013294" w:rsidRPr="00ED4758" w:rsidRDefault="00013294" w:rsidP="00013294">
      <w:pPr>
        <w:ind w:firstLine="567"/>
        <w:jc w:val="both"/>
        <w:rPr>
          <w:lang w:val="en-GB"/>
        </w:rPr>
      </w:pPr>
      <w:r w:rsidRPr="00ED4758">
        <w:rPr>
          <w:lang w:val="en-GB"/>
        </w:rPr>
        <w:t>As of 01.01.2020 the share capital of the Bank made UAH 244</w:t>
      </w:r>
      <w:r w:rsidR="00620140">
        <w:rPr>
          <w:lang w:val="en-GB"/>
        </w:rPr>
        <w:t>,000 thousand</w:t>
      </w:r>
      <w:r w:rsidRPr="00ED4758">
        <w:rPr>
          <w:lang w:val="en-GB"/>
        </w:rPr>
        <w:t xml:space="preserve"> and its size has not been changed since the beginning of the year.</w:t>
      </w:r>
    </w:p>
    <w:p w14:paraId="6161C26D" w14:textId="2EF8592B" w:rsidR="00013294" w:rsidRPr="00ED4758" w:rsidRDefault="00013294" w:rsidP="00013294">
      <w:pPr>
        <w:ind w:firstLine="567"/>
        <w:jc w:val="both"/>
        <w:rPr>
          <w:lang w:val="en-GB"/>
        </w:rPr>
      </w:pPr>
      <w:r w:rsidRPr="00ED4758">
        <w:rPr>
          <w:lang w:val="en-GB"/>
        </w:rPr>
        <w:lastRenderedPageBreak/>
        <w:t>According to the financial statements of the Bank, the amount of attracted funds is UAH 46,812</w:t>
      </w:r>
      <w:r w:rsidR="00620140">
        <w:rPr>
          <w:lang w:val="en-GB"/>
        </w:rPr>
        <w:t xml:space="preserve"> thousand</w:t>
      </w:r>
      <w:r w:rsidRPr="00ED4758">
        <w:rPr>
          <w:lang w:val="en-GB"/>
        </w:rPr>
        <w:t>, including:</w:t>
      </w:r>
    </w:p>
    <w:p w14:paraId="7E6CB75F" w14:textId="2A6D52B2" w:rsidR="00013294" w:rsidRPr="00ED4758" w:rsidRDefault="00013294" w:rsidP="00013294">
      <w:pPr>
        <w:ind w:firstLine="567"/>
        <w:jc w:val="both"/>
        <w:rPr>
          <w:lang w:val="en-GB"/>
        </w:rPr>
      </w:pPr>
      <w:r w:rsidRPr="00ED4758">
        <w:rPr>
          <w:lang w:val="en-GB"/>
        </w:rPr>
        <w:t>• Funds at demand of legal entities –UAH 8,993</w:t>
      </w:r>
      <w:r w:rsidR="003A053A" w:rsidRPr="00ED4758">
        <w:rPr>
          <w:lang w:val="en-GB"/>
        </w:rPr>
        <w:t xml:space="preserve"> thousand</w:t>
      </w:r>
    </w:p>
    <w:p w14:paraId="2BC3A74E" w14:textId="2E6A0A67" w:rsidR="00013294" w:rsidRPr="00ED4758" w:rsidRDefault="00013294" w:rsidP="00013294">
      <w:pPr>
        <w:ind w:firstLine="567"/>
        <w:jc w:val="both"/>
        <w:rPr>
          <w:lang w:val="en-GB"/>
        </w:rPr>
      </w:pPr>
      <w:r w:rsidRPr="00ED4758">
        <w:rPr>
          <w:lang w:val="en-GB"/>
        </w:rPr>
        <w:t xml:space="preserve">• Funds at demand of individuals –UAH 142 </w:t>
      </w:r>
      <w:r w:rsidR="003A053A" w:rsidRPr="00ED4758">
        <w:rPr>
          <w:lang w:val="en-GB"/>
        </w:rPr>
        <w:t>thousand</w:t>
      </w:r>
    </w:p>
    <w:p w14:paraId="75069B2B" w14:textId="0128820A" w:rsidR="00013294" w:rsidRPr="00ED4758" w:rsidRDefault="00013294" w:rsidP="00013294">
      <w:pPr>
        <w:ind w:firstLine="567"/>
        <w:jc w:val="both"/>
        <w:rPr>
          <w:lang w:val="en-GB"/>
        </w:rPr>
      </w:pPr>
      <w:r w:rsidRPr="00ED4758">
        <w:rPr>
          <w:lang w:val="en-GB"/>
        </w:rPr>
        <w:t>• Subordinated debt - UAH 36,247 thousand (the amount of borrowing less accrued interest and unamortised premium/discount makes UAH 43,900 thousand).</w:t>
      </w:r>
    </w:p>
    <w:p w14:paraId="1DE5BAE3" w14:textId="22647951" w:rsidR="00013294" w:rsidRPr="00ED4758" w:rsidRDefault="00013294" w:rsidP="00013294">
      <w:pPr>
        <w:ind w:firstLine="567"/>
        <w:jc w:val="both"/>
        <w:rPr>
          <w:lang w:val="en-GB"/>
        </w:rPr>
      </w:pPr>
      <w:r w:rsidRPr="00ED4758">
        <w:rPr>
          <w:lang w:val="en-GB"/>
        </w:rPr>
        <w:t>Subordinated debt has the largest share in the Bank's liabilities structure (77.4% of all Bank's liabilities). The amount of attraction is UAH 43,900 thousand, including: UAH 32,000 thousand with maturity till 28.04.2021 (up to 2 years) and UAH 11,900 thousand with maturity till 09.02.2023 (up to 4 years).</w:t>
      </w:r>
    </w:p>
    <w:p w14:paraId="113F5136" w14:textId="4AB9A4A6" w:rsidR="00013294" w:rsidRPr="00ED4758" w:rsidRDefault="00013294" w:rsidP="00013294">
      <w:pPr>
        <w:ind w:firstLine="567"/>
        <w:jc w:val="both"/>
        <w:rPr>
          <w:lang w:val="en-GB"/>
        </w:rPr>
      </w:pPr>
      <w:r w:rsidRPr="00ED4758">
        <w:rPr>
          <w:lang w:val="en-GB"/>
        </w:rPr>
        <w:t>C</w:t>
      </w:r>
      <w:r w:rsidR="00620140">
        <w:rPr>
          <w:lang w:val="en-GB"/>
        </w:rPr>
        <w:t>lients</w:t>
      </w:r>
      <w:r w:rsidRPr="00ED4758">
        <w:rPr>
          <w:lang w:val="en-GB"/>
        </w:rPr>
        <w:t>' money amounted to UAH 9,135 thousand or 19.5% of the total liabilities of the Bank, including funds on demand of legal entities and individuals - UAH 8</w:t>
      </w:r>
      <w:r w:rsidR="008104F5" w:rsidRPr="00ED4758">
        <w:rPr>
          <w:lang w:val="en-GB"/>
        </w:rPr>
        <w:t>,</w:t>
      </w:r>
      <w:r w:rsidRPr="00ED4758">
        <w:rPr>
          <w:lang w:val="en-GB"/>
        </w:rPr>
        <w:t>993 thousand and UAH 142 thousand respectively.</w:t>
      </w:r>
    </w:p>
    <w:p w14:paraId="451B47AE" w14:textId="424213AC" w:rsidR="00013294" w:rsidRPr="00ED4758" w:rsidRDefault="00013294" w:rsidP="00013294">
      <w:pPr>
        <w:ind w:firstLine="567"/>
        <w:jc w:val="both"/>
        <w:rPr>
          <w:lang w:val="en-GB"/>
        </w:rPr>
      </w:pPr>
      <w:r w:rsidRPr="00ED4758">
        <w:rPr>
          <w:lang w:val="en-GB"/>
        </w:rPr>
        <w:t>Other liabilities in the amount of UAH 1</w:t>
      </w:r>
      <w:r w:rsidR="008104F5" w:rsidRPr="00ED4758">
        <w:rPr>
          <w:lang w:val="en-GB"/>
        </w:rPr>
        <w:t>,</w:t>
      </w:r>
      <w:r w:rsidRPr="00ED4758">
        <w:rPr>
          <w:lang w:val="en-GB"/>
        </w:rPr>
        <w:t>430 thousand represent 3.1% of the</w:t>
      </w:r>
      <w:r w:rsidR="00620140">
        <w:rPr>
          <w:lang w:val="en-GB"/>
        </w:rPr>
        <w:t xml:space="preserve"> </w:t>
      </w:r>
      <w:r w:rsidRPr="00ED4758">
        <w:rPr>
          <w:lang w:val="en-GB"/>
        </w:rPr>
        <w:t>total liabilities</w:t>
      </w:r>
      <w:r w:rsidR="00620140">
        <w:rPr>
          <w:lang w:val="en-GB"/>
        </w:rPr>
        <w:t xml:space="preserve"> of the Bank</w:t>
      </w:r>
      <w:r w:rsidRPr="00ED4758">
        <w:rPr>
          <w:lang w:val="en-GB"/>
        </w:rPr>
        <w:t>.</w:t>
      </w:r>
    </w:p>
    <w:p w14:paraId="4299A77E" w14:textId="2F81448C" w:rsidR="00013294" w:rsidRPr="00ED4758" w:rsidRDefault="00013294" w:rsidP="00013294">
      <w:pPr>
        <w:ind w:firstLine="567"/>
        <w:jc w:val="both"/>
        <w:rPr>
          <w:lang w:val="en-GB"/>
        </w:rPr>
      </w:pPr>
      <w:r w:rsidRPr="00ED4758">
        <w:rPr>
          <w:lang w:val="en-GB"/>
        </w:rPr>
        <w:t xml:space="preserve">The total amount of highly liquid assets that ensure the timely </w:t>
      </w:r>
      <w:r w:rsidR="00620140" w:rsidRPr="00ED4758">
        <w:rPr>
          <w:lang w:val="en-GB"/>
        </w:rPr>
        <w:t>fulfilment</w:t>
      </w:r>
      <w:r w:rsidRPr="00ED4758">
        <w:rPr>
          <w:lang w:val="en-GB"/>
        </w:rPr>
        <w:t xml:space="preserve"> of obligations as of the reporting date amounted to UAH 3</w:t>
      </w:r>
      <w:r w:rsidR="008104F5" w:rsidRPr="00ED4758">
        <w:rPr>
          <w:lang w:val="en-GB"/>
        </w:rPr>
        <w:t>,</w:t>
      </w:r>
      <w:r w:rsidRPr="00ED4758">
        <w:rPr>
          <w:lang w:val="en-GB"/>
        </w:rPr>
        <w:t>784 thousand</w:t>
      </w:r>
      <w:r w:rsidR="008104F5" w:rsidRPr="00ED4758">
        <w:rPr>
          <w:lang w:val="en-GB"/>
        </w:rPr>
        <w:t xml:space="preserve"> </w:t>
      </w:r>
      <w:r w:rsidRPr="00ED4758">
        <w:rPr>
          <w:lang w:val="en-GB"/>
        </w:rPr>
        <w:t>and consisted of:</w:t>
      </w:r>
    </w:p>
    <w:p w14:paraId="1BBB58FA" w14:textId="76460F24" w:rsidR="00013294" w:rsidRPr="00ED4758" w:rsidRDefault="00013294" w:rsidP="0022284B">
      <w:pPr>
        <w:pStyle w:val="ListParagraph"/>
        <w:numPr>
          <w:ilvl w:val="0"/>
          <w:numId w:val="6"/>
        </w:numPr>
        <w:jc w:val="both"/>
        <w:rPr>
          <w:lang w:val="en-GB"/>
        </w:rPr>
      </w:pPr>
      <w:r w:rsidRPr="00ED4758">
        <w:rPr>
          <w:lang w:val="en-GB"/>
        </w:rPr>
        <w:t>cash in the cash desk of the Bank in the amount of UAH 2</w:t>
      </w:r>
      <w:r w:rsidR="008104F5" w:rsidRPr="00ED4758">
        <w:rPr>
          <w:lang w:val="en-GB"/>
        </w:rPr>
        <w:t>,</w:t>
      </w:r>
      <w:r w:rsidRPr="00ED4758">
        <w:rPr>
          <w:lang w:val="en-GB"/>
        </w:rPr>
        <w:t>623 thousand.</w:t>
      </w:r>
    </w:p>
    <w:p w14:paraId="7D513E3E" w14:textId="164C039F" w:rsidR="00013294" w:rsidRPr="00ED4758" w:rsidRDefault="00013294" w:rsidP="0022284B">
      <w:pPr>
        <w:pStyle w:val="ListParagraph"/>
        <w:numPr>
          <w:ilvl w:val="0"/>
          <w:numId w:val="6"/>
        </w:numPr>
        <w:jc w:val="both"/>
        <w:rPr>
          <w:lang w:val="en-GB"/>
        </w:rPr>
      </w:pPr>
      <w:r w:rsidRPr="00ED4758">
        <w:rPr>
          <w:lang w:val="en-GB"/>
        </w:rPr>
        <w:t>funds in the correspondent account with the NBU in the amount of UAH 205 thousand.</w:t>
      </w:r>
    </w:p>
    <w:p w14:paraId="739E0B24" w14:textId="10528B57" w:rsidR="008104F5" w:rsidRPr="00ED4758" w:rsidRDefault="00013294" w:rsidP="0022284B">
      <w:pPr>
        <w:pStyle w:val="ListParagraph"/>
        <w:numPr>
          <w:ilvl w:val="0"/>
          <w:numId w:val="6"/>
        </w:numPr>
        <w:jc w:val="both"/>
        <w:rPr>
          <w:lang w:val="en-GB"/>
        </w:rPr>
      </w:pPr>
      <w:r w:rsidRPr="00ED4758">
        <w:rPr>
          <w:lang w:val="en-GB"/>
        </w:rPr>
        <w:t xml:space="preserve">funds in correspondent accounts with other banks in the amount of UAH 956 thousand. (UAH 1,068 thousand excluding </w:t>
      </w:r>
      <w:r w:rsidR="00620140">
        <w:rPr>
          <w:lang w:val="en-GB"/>
        </w:rPr>
        <w:t xml:space="preserve">the </w:t>
      </w:r>
      <w:r w:rsidRPr="00ED4758">
        <w:rPr>
          <w:lang w:val="en-GB"/>
        </w:rPr>
        <w:t>impairment allowance).</w:t>
      </w:r>
    </w:p>
    <w:p w14:paraId="30B2C1F4" w14:textId="446FFF9D" w:rsidR="008104F5" w:rsidRPr="00ED4758" w:rsidRDefault="008104F5" w:rsidP="008104F5">
      <w:pPr>
        <w:ind w:firstLine="646"/>
        <w:jc w:val="both"/>
        <w:rPr>
          <w:lang w:val="en-GB"/>
        </w:rPr>
      </w:pPr>
      <w:r w:rsidRPr="00ED4758">
        <w:rPr>
          <w:lang w:val="en-GB"/>
        </w:rPr>
        <w:t>The largest part of assets (71%) in the total amount of UAH 169,943 thousand consists of investments in liquid securities, namely:</w:t>
      </w:r>
    </w:p>
    <w:p w14:paraId="54C774AC" w14:textId="3CC33D39" w:rsidR="008104F5" w:rsidRPr="00ED4758" w:rsidRDefault="008104F5" w:rsidP="0022284B">
      <w:pPr>
        <w:pStyle w:val="ListParagraph"/>
        <w:numPr>
          <w:ilvl w:val="0"/>
          <w:numId w:val="7"/>
        </w:numPr>
        <w:jc w:val="both"/>
        <w:rPr>
          <w:lang w:val="en-GB"/>
        </w:rPr>
      </w:pPr>
      <w:r w:rsidRPr="00ED4758">
        <w:rPr>
          <w:lang w:val="en-GB"/>
        </w:rPr>
        <w:t xml:space="preserve">investment in domestic government bonds in the amount of UAH 150,908 thousand (maturities from 3 months to a year </w:t>
      </w:r>
      <w:r w:rsidR="00620140">
        <w:rPr>
          <w:lang w:val="en-GB"/>
        </w:rPr>
        <w:t xml:space="preserve">- </w:t>
      </w:r>
      <w:r w:rsidRPr="00ED4758">
        <w:rPr>
          <w:lang w:val="en-GB"/>
        </w:rPr>
        <w:t>in the amount of UAH 98,588 thousand</w:t>
      </w:r>
      <w:r w:rsidR="00620140">
        <w:rPr>
          <w:lang w:val="en-GB"/>
        </w:rPr>
        <w:t>;</w:t>
      </w:r>
      <w:r w:rsidRPr="00ED4758">
        <w:rPr>
          <w:lang w:val="en-GB"/>
        </w:rPr>
        <w:t xml:space="preserve"> from 1 month to 3 months </w:t>
      </w:r>
      <w:r w:rsidR="00620140">
        <w:rPr>
          <w:lang w:val="en-GB"/>
        </w:rPr>
        <w:t xml:space="preserve">- </w:t>
      </w:r>
      <w:r w:rsidRPr="00ED4758">
        <w:rPr>
          <w:lang w:val="en-GB"/>
        </w:rPr>
        <w:t>in the amount of UAH 48,714 thousand</w:t>
      </w:r>
      <w:r w:rsidR="00620140">
        <w:rPr>
          <w:lang w:val="en-GB"/>
        </w:rPr>
        <w:t>;</w:t>
      </w:r>
      <w:r w:rsidRPr="00ED4758">
        <w:rPr>
          <w:lang w:val="en-GB"/>
        </w:rPr>
        <w:t xml:space="preserve"> up to 1 month </w:t>
      </w:r>
      <w:r w:rsidR="00620140">
        <w:rPr>
          <w:lang w:val="en-GB"/>
        </w:rPr>
        <w:t xml:space="preserve">- </w:t>
      </w:r>
      <w:r w:rsidRPr="00ED4758">
        <w:rPr>
          <w:lang w:val="en-GB"/>
        </w:rPr>
        <w:t>in the amount of UAH 3,606 thousand)</w:t>
      </w:r>
    </w:p>
    <w:p w14:paraId="02D3CBD2" w14:textId="1EDBC3A9" w:rsidR="008104F5" w:rsidRPr="00ED4758" w:rsidRDefault="008104F5" w:rsidP="0022284B">
      <w:pPr>
        <w:pStyle w:val="ListParagraph"/>
        <w:numPr>
          <w:ilvl w:val="0"/>
          <w:numId w:val="7"/>
        </w:numPr>
        <w:jc w:val="both"/>
        <w:rPr>
          <w:lang w:val="en-GB"/>
        </w:rPr>
      </w:pPr>
      <w:r w:rsidRPr="00ED4758">
        <w:rPr>
          <w:lang w:val="en-GB"/>
        </w:rPr>
        <w:t>investment in deposit certificates issued by the NBU in the amount of UAH 19,035 thousand (including UAH 1,002 thousand - overnight, the rest - with maturity of up to 14 days)</w:t>
      </w:r>
    </w:p>
    <w:p w14:paraId="123EE8E5" w14:textId="3C7EC4DB" w:rsidR="008104F5" w:rsidRPr="00ED4758" w:rsidRDefault="008104F5" w:rsidP="008104F5">
      <w:pPr>
        <w:ind w:firstLine="646"/>
        <w:jc w:val="both"/>
        <w:rPr>
          <w:lang w:val="en-GB"/>
        </w:rPr>
      </w:pPr>
      <w:r w:rsidRPr="00ED4758">
        <w:rPr>
          <w:lang w:val="en-GB"/>
        </w:rPr>
        <w:t>During the reporting year, the Bank had excess liquidity and not only met all the liquidity standards and liquidity coverage ratios (LCRs) set by the National Bank of Ukraine, but also had a significant margin of compliance.</w:t>
      </w:r>
    </w:p>
    <w:p w14:paraId="6B4138F3" w14:textId="1EF6AF7B" w:rsidR="008104F5" w:rsidRPr="00ED4758" w:rsidRDefault="008104F5" w:rsidP="008104F5">
      <w:pPr>
        <w:ind w:firstLine="646"/>
        <w:jc w:val="both"/>
        <w:rPr>
          <w:lang w:val="en-GB"/>
        </w:rPr>
      </w:pPr>
      <w:r w:rsidRPr="00ED4758">
        <w:rPr>
          <w:lang w:val="en-GB"/>
        </w:rPr>
        <w:t xml:space="preserve">In 2020, the Bank's Development Strategy </w:t>
      </w:r>
      <w:r w:rsidR="00620140">
        <w:rPr>
          <w:lang w:val="en-GB"/>
        </w:rPr>
        <w:t>provides not only for</w:t>
      </w:r>
      <w:r w:rsidRPr="00ED4758">
        <w:rPr>
          <w:lang w:val="en-GB"/>
        </w:rPr>
        <w:t xml:space="preserve"> </w:t>
      </w:r>
      <w:r w:rsidR="00620140">
        <w:rPr>
          <w:lang w:val="en-GB"/>
        </w:rPr>
        <w:t>expansion of</w:t>
      </w:r>
      <w:r w:rsidRPr="00ED4758">
        <w:rPr>
          <w:lang w:val="en-GB"/>
        </w:rPr>
        <w:t xml:space="preserve"> the Bank's resource base by attracting new customers as a result of increase in the list of banking operations and the introduction of new services, but also </w:t>
      </w:r>
      <w:r w:rsidR="00DD5817">
        <w:rPr>
          <w:lang w:val="en-GB"/>
        </w:rPr>
        <w:t>for diversification</w:t>
      </w:r>
      <w:r w:rsidRPr="00ED4758">
        <w:rPr>
          <w:lang w:val="en-GB"/>
        </w:rPr>
        <w:t xml:space="preserve"> funds</w:t>
      </w:r>
      <w:r w:rsidR="00DD5817">
        <w:rPr>
          <w:lang w:val="en-GB"/>
        </w:rPr>
        <w:t xml:space="preserve"> sources</w:t>
      </w:r>
      <w:r w:rsidRPr="00ED4758">
        <w:rPr>
          <w:lang w:val="en-GB"/>
        </w:rPr>
        <w:t>.</w:t>
      </w:r>
    </w:p>
    <w:p w14:paraId="1478F5C2" w14:textId="77777777" w:rsidR="00DD5817" w:rsidRDefault="00DD5817" w:rsidP="00360C54">
      <w:pPr>
        <w:ind w:firstLine="567"/>
        <w:jc w:val="both"/>
        <w:rPr>
          <w:lang w:val="en-GB"/>
        </w:rPr>
      </w:pPr>
    </w:p>
    <w:p w14:paraId="4DE3151A" w14:textId="69C8C619" w:rsidR="00360C54" w:rsidRPr="00ED4758" w:rsidRDefault="00360C54" w:rsidP="00360C54">
      <w:pPr>
        <w:ind w:firstLine="567"/>
        <w:jc w:val="both"/>
        <w:rPr>
          <w:lang w:val="en-GB"/>
        </w:rPr>
      </w:pPr>
      <w:r w:rsidRPr="00ED4758">
        <w:rPr>
          <w:lang w:val="en-GB"/>
        </w:rPr>
        <w:t xml:space="preserve">One of the key prerequisites for successful implementation of the Bank's Strategy is the formation of a professional and motivated team that clearly understands and shares the goals and </w:t>
      </w:r>
      <w:r w:rsidR="00DD5817">
        <w:rPr>
          <w:lang w:val="en-GB"/>
        </w:rPr>
        <w:t>tasks</w:t>
      </w:r>
      <w:r w:rsidRPr="00ED4758">
        <w:rPr>
          <w:lang w:val="en-GB"/>
        </w:rPr>
        <w:t xml:space="preserve"> of the Bank. To achieve its strategic goals, the Bank will actively invest in the development of human resource, attract new professional staff and develop skills of existing employees.</w:t>
      </w:r>
    </w:p>
    <w:p w14:paraId="1BAD5349" w14:textId="77777777" w:rsidR="00360C54" w:rsidRPr="00ED4758" w:rsidRDefault="00360C54" w:rsidP="00360C54">
      <w:pPr>
        <w:ind w:firstLine="567"/>
        <w:jc w:val="both"/>
        <w:rPr>
          <w:lang w:val="en-GB"/>
        </w:rPr>
      </w:pPr>
      <w:r w:rsidRPr="00ED4758">
        <w:rPr>
          <w:lang w:val="en-GB"/>
        </w:rPr>
        <w:t>In the reporting year, the Bank created new jobs with a decent level of remuneration and social guarantees.</w:t>
      </w:r>
    </w:p>
    <w:p w14:paraId="1DB57D6A" w14:textId="617193E7" w:rsidR="00DC0FAF" w:rsidRPr="00ED4758" w:rsidRDefault="00360C54" w:rsidP="00360C54">
      <w:pPr>
        <w:ind w:firstLine="567"/>
        <w:jc w:val="both"/>
        <w:rPr>
          <w:highlight w:val="yellow"/>
          <w:lang w:val="en-GB"/>
        </w:rPr>
      </w:pPr>
      <w:r w:rsidRPr="00ED4758">
        <w:rPr>
          <w:lang w:val="en-GB"/>
        </w:rPr>
        <w:t xml:space="preserve">As of 01.01.2020, the </w:t>
      </w:r>
      <w:r w:rsidR="00DD5817">
        <w:rPr>
          <w:lang w:val="en-GB"/>
        </w:rPr>
        <w:t xml:space="preserve">number of </w:t>
      </w:r>
      <w:r w:rsidRPr="00ED4758">
        <w:rPr>
          <w:lang w:val="en-GB"/>
        </w:rPr>
        <w:t xml:space="preserve">Bank's </w:t>
      </w:r>
      <w:r w:rsidR="00DD5817">
        <w:rPr>
          <w:lang w:val="en-GB"/>
        </w:rPr>
        <w:t>staff</w:t>
      </w:r>
      <w:r w:rsidRPr="00ED4758">
        <w:rPr>
          <w:lang w:val="en-GB"/>
        </w:rPr>
        <w:t xml:space="preserve"> makes 49 people (including 2 persons on maternity leave), of which 32 management positions. The vast majority of the Bank's employees (87% of their total number) have higher education, </w:t>
      </w:r>
      <w:r w:rsidR="00DD5817">
        <w:rPr>
          <w:lang w:val="en-GB"/>
        </w:rPr>
        <w:t xml:space="preserve">and </w:t>
      </w:r>
      <w:r w:rsidRPr="00ED4758">
        <w:rPr>
          <w:lang w:val="en-GB"/>
        </w:rPr>
        <w:t>the average age of the</w:t>
      </w:r>
      <w:r w:rsidR="00DD5817">
        <w:rPr>
          <w:lang w:val="en-GB"/>
        </w:rPr>
        <w:t xml:space="preserve"> </w:t>
      </w:r>
      <w:r w:rsidRPr="00ED4758">
        <w:rPr>
          <w:lang w:val="en-GB"/>
        </w:rPr>
        <w:t xml:space="preserve">experienced employees (with an </w:t>
      </w:r>
      <w:r w:rsidRPr="00ED4758">
        <w:rPr>
          <w:lang w:val="en-GB"/>
        </w:rPr>
        <w:lastRenderedPageBreak/>
        <w:t xml:space="preserve">average banking experience of 17 years) </w:t>
      </w:r>
      <w:r w:rsidR="00DD5817">
        <w:rPr>
          <w:lang w:val="en-GB"/>
        </w:rPr>
        <w:t>makes</w:t>
      </w:r>
      <w:r w:rsidRPr="00ED4758">
        <w:rPr>
          <w:lang w:val="en-GB"/>
        </w:rPr>
        <w:t xml:space="preserve"> 45 years. In general, the Bank employs dedicated staff with a </w:t>
      </w:r>
      <w:r w:rsidR="00DD5817">
        <w:rPr>
          <w:lang w:val="en-GB"/>
        </w:rPr>
        <w:t xml:space="preserve">6-year </w:t>
      </w:r>
      <w:r w:rsidRPr="00ED4758">
        <w:rPr>
          <w:lang w:val="en-GB"/>
        </w:rPr>
        <w:t>average corporate experience.</w:t>
      </w:r>
    </w:p>
    <w:p w14:paraId="26420289" w14:textId="4BC1701A" w:rsidR="00360C54" w:rsidRPr="00ED4758" w:rsidRDefault="00360C54" w:rsidP="00360C54">
      <w:pPr>
        <w:shd w:val="clear" w:color="auto" w:fill="FFFFFF"/>
        <w:tabs>
          <w:tab w:val="num" w:pos="0"/>
        </w:tabs>
        <w:ind w:right="36" w:firstLine="567"/>
        <w:jc w:val="both"/>
        <w:rPr>
          <w:lang w:val="en-GB"/>
        </w:rPr>
      </w:pPr>
      <w:r w:rsidRPr="00ED4758">
        <w:rPr>
          <w:lang w:val="en-GB"/>
        </w:rPr>
        <w:t>The Bank's HR management philosophy is based on the culture of self-improvement and continuous professional and personal development, the culture of achieving team goals through the use of the knowledge, skills and experience of all Bank employees.</w:t>
      </w:r>
    </w:p>
    <w:p w14:paraId="0D210467" w14:textId="2808DE2C" w:rsidR="00282179" w:rsidRPr="00ED4758" w:rsidRDefault="00360C54" w:rsidP="000F786C">
      <w:pPr>
        <w:shd w:val="clear" w:color="auto" w:fill="FFFFFF"/>
        <w:tabs>
          <w:tab w:val="num" w:pos="0"/>
        </w:tabs>
        <w:ind w:right="36" w:firstLine="567"/>
        <w:jc w:val="both"/>
        <w:rPr>
          <w:rStyle w:val="longtext"/>
          <w:shd w:val="clear" w:color="auto" w:fill="FFFFFF"/>
          <w:lang w:val="en-GB"/>
        </w:rPr>
      </w:pPr>
      <w:r w:rsidRPr="00ED4758">
        <w:rPr>
          <w:lang w:val="en-GB"/>
        </w:rPr>
        <w:t xml:space="preserve">Much attention will be paid to improving skills of </w:t>
      </w:r>
      <w:r w:rsidR="000F786C" w:rsidRPr="00ED4758">
        <w:rPr>
          <w:lang w:val="en-GB"/>
        </w:rPr>
        <w:t>the Bank’s</w:t>
      </w:r>
      <w:r w:rsidRPr="00ED4758">
        <w:rPr>
          <w:lang w:val="en-GB"/>
        </w:rPr>
        <w:t xml:space="preserve"> employees. According to the program of </w:t>
      </w:r>
      <w:r w:rsidR="000F786C" w:rsidRPr="00ED4758">
        <w:rPr>
          <w:lang w:val="en-GB"/>
        </w:rPr>
        <w:t xml:space="preserve">professional </w:t>
      </w:r>
      <w:r w:rsidRPr="00ED4758">
        <w:rPr>
          <w:lang w:val="en-GB"/>
        </w:rPr>
        <w:t xml:space="preserve">training and </w:t>
      </w:r>
      <w:r w:rsidR="000F786C" w:rsidRPr="00ED4758">
        <w:rPr>
          <w:lang w:val="en-GB"/>
        </w:rPr>
        <w:t>proficiency enhancement</w:t>
      </w:r>
      <w:r w:rsidRPr="00ED4758">
        <w:rPr>
          <w:lang w:val="en-GB"/>
        </w:rPr>
        <w:t xml:space="preserve"> of the personnel, the Bank organi</w:t>
      </w:r>
      <w:r w:rsidR="000F786C" w:rsidRPr="00ED4758">
        <w:rPr>
          <w:lang w:val="en-GB"/>
        </w:rPr>
        <w:t>s</w:t>
      </w:r>
      <w:r w:rsidRPr="00ED4758">
        <w:rPr>
          <w:lang w:val="en-GB"/>
        </w:rPr>
        <w:t>es appropriate trainings both on its own and through speciali</w:t>
      </w:r>
      <w:r w:rsidR="000F786C" w:rsidRPr="00ED4758">
        <w:rPr>
          <w:lang w:val="en-GB"/>
        </w:rPr>
        <w:t>s</w:t>
      </w:r>
      <w:r w:rsidRPr="00ED4758">
        <w:rPr>
          <w:lang w:val="en-GB"/>
        </w:rPr>
        <w:t xml:space="preserve">ed training </w:t>
      </w:r>
      <w:r w:rsidR="00DD5817" w:rsidRPr="00ED4758">
        <w:rPr>
          <w:lang w:val="en-GB"/>
        </w:rPr>
        <w:t>centres</w:t>
      </w:r>
      <w:r w:rsidRPr="00ED4758">
        <w:rPr>
          <w:lang w:val="en-GB"/>
        </w:rPr>
        <w:t>. During the reporting year, employees attended 66 training events. The Bank expects that its investments in human resources will have a positive result and will help to increase the efficiency of the Bank's employees.</w:t>
      </w:r>
      <w:r w:rsidR="00282179" w:rsidRPr="00ED4758">
        <w:rPr>
          <w:lang w:val="en-GB"/>
        </w:rPr>
        <w:tab/>
      </w:r>
      <w:r w:rsidR="000F786C" w:rsidRPr="00ED4758">
        <w:rPr>
          <w:lang w:val="en-GB"/>
        </w:rPr>
        <w:t xml:space="preserve">The Bank has introduced </w:t>
      </w:r>
      <w:r w:rsidR="00DD5817">
        <w:rPr>
          <w:lang w:val="en-GB"/>
        </w:rPr>
        <w:t>the</w:t>
      </w:r>
      <w:r w:rsidR="000F786C" w:rsidRPr="00ED4758">
        <w:rPr>
          <w:lang w:val="en-GB"/>
        </w:rPr>
        <w:t xml:space="preserve"> Code of Conduct (ethics), which sets out the basics of employee conduct in performance of their duties and in informal communication to prevent fraud and abuse.</w:t>
      </w:r>
      <w:r w:rsidR="00282179" w:rsidRPr="00ED4758">
        <w:rPr>
          <w:rStyle w:val="longtext"/>
          <w:shd w:val="clear" w:color="auto" w:fill="FFFFFF"/>
          <w:lang w:val="en-GB"/>
        </w:rPr>
        <w:t xml:space="preserve"> </w:t>
      </w:r>
    </w:p>
    <w:p w14:paraId="46B2A056" w14:textId="77777777" w:rsidR="00B45100" w:rsidRPr="00ED4758" w:rsidRDefault="00B45100" w:rsidP="00BB34F9">
      <w:pPr>
        <w:ind w:firstLine="567"/>
        <w:jc w:val="both"/>
        <w:rPr>
          <w:rStyle w:val="longtext"/>
          <w:highlight w:val="yellow"/>
          <w:shd w:val="clear" w:color="auto" w:fill="FFFFFF"/>
          <w:lang w:val="en-GB"/>
        </w:rPr>
      </w:pPr>
    </w:p>
    <w:p w14:paraId="73BCBC3E" w14:textId="00EDCF55" w:rsidR="000F786C" w:rsidRPr="00ED4758" w:rsidRDefault="000F786C" w:rsidP="000F786C">
      <w:pPr>
        <w:ind w:firstLine="567"/>
        <w:jc w:val="both"/>
        <w:rPr>
          <w:rStyle w:val="longtext"/>
          <w:shd w:val="clear" w:color="auto" w:fill="FFFFFF"/>
          <w:lang w:val="en-GB"/>
        </w:rPr>
      </w:pPr>
      <w:r w:rsidRPr="00ED4758">
        <w:rPr>
          <w:rStyle w:val="longtext"/>
          <w:shd w:val="clear" w:color="auto" w:fill="FFFFFF"/>
          <w:lang w:val="en-GB"/>
        </w:rPr>
        <w:t xml:space="preserve">JSC “Ukrainian </w:t>
      </w:r>
      <w:r w:rsidR="00DD5817" w:rsidRPr="00ED4758">
        <w:rPr>
          <w:rStyle w:val="longtext"/>
          <w:shd w:val="clear" w:color="auto" w:fill="FFFFFF"/>
          <w:lang w:val="en-GB"/>
        </w:rPr>
        <w:t>bank for reconstruction and development</w:t>
      </w:r>
      <w:r w:rsidRPr="00ED4758">
        <w:rPr>
          <w:rStyle w:val="longtext"/>
          <w:shd w:val="clear" w:color="auto" w:fill="FFFFFF"/>
          <w:lang w:val="en-GB"/>
        </w:rPr>
        <w:t>” operates in its own premises, which fully meets the requirements of the National Bank of Ukraine and has a certified cash register.</w:t>
      </w:r>
    </w:p>
    <w:p w14:paraId="2A8E7E4D" w14:textId="674176CC" w:rsidR="000F786C" w:rsidRPr="00ED4758" w:rsidRDefault="000F786C" w:rsidP="000F786C">
      <w:pPr>
        <w:ind w:firstLine="567"/>
        <w:jc w:val="both"/>
        <w:rPr>
          <w:rStyle w:val="longtext"/>
          <w:shd w:val="clear" w:color="auto" w:fill="FFFFFF"/>
          <w:lang w:val="en-GB"/>
        </w:rPr>
      </w:pPr>
      <w:r w:rsidRPr="00ED4758">
        <w:rPr>
          <w:rStyle w:val="longtext"/>
          <w:shd w:val="clear" w:color="auto" w:fill="FFFFFF"/>
          <w:lang w:val="en-GB"/>
        </w:rPr>
        <w:t xml:space="preserve">The IT processes are provided by </w:t>
      </w:r>
      <w:r w:rsidR="00DD5817">
        <w:rPr>
          <w:rStyle w:val="longtext"/>
          <w:shd w:val="clear" w:color="auto" w:fill="FFFFFF"/>
          <w:lang w:val="en-GB"/>
        </w:rPr>
        <w:t xml:space="preserve">the </w:t>
      </w:r>
      <w:r w:rsidRPr="00ED4758">
        <w:rPr>
          <w:rStyle w:val="longtext"/>
          <w:shd w:val="clear" w:color="auto" w:fill="FFFFFF"/>
          <w:lang w:val="en-GB"/>
        </w:rPr>
        <w:t>licensed software.</w:t>
      </w:r>
    </w:p>
    <w:p w14:paraId="3790197A" w14:textId="699FA708" w:rsidR="000F786C" w:rsidRPr="00ED4758" w:rsidRDefault="000F786C" w:rsidP="000F786C">
      <w:pPr>
        <w:ind w:firstLine="567"/>
        <w:jc w:val="both"/>
        <w:rPr>
          <w:rStyle w:val="longtext"/>
          <w:shd w:val="clear" w:color="auto" w:fill="FFFFFF"/>
          <w:lang w:val="en-GB"/>
        </w:rPr>
      </w:pPr>
      <w:r w:rsidRPr="00ED4758">
        <w:rPr>
          <w:rStyle w:val="longtext"/>
          <w:shd w:val="clear" w:color="auto" w:fill="FFFFFF"/>
          <w:lang w:val="en-GB"/>
        </w:rPr>
        <w:t>In the reporting year, the material and technical base was updated, and workplaces of the Bank employees were completely updated. New server and network equipment</w:t>
      </w:r>
      <w:r w:rsidR="008A6A9C">
        <w:rPr>
          <w:rStyle w:val="longtext"/>
          <w:shd w:val="clear" w:color="auto" w:fill="FFFFFF"/>
          <w:lang w:val="uk-UA"/>
        </w:rPr>
        <w:t xml:space="preserve"> </w:t>
      </w:r>
      <w:r w:rsidR="008A6A9C">
        <w:rPr>
          <w:rStyle w:val="longtext"/>
          <w:shd w:val="clear" w:color="auto" w:fill="FFFFFF"/>
          <w:lang w:val="en-GB"/>
        </w:rPr>
        <w:t>was</w:t>
      </w:r>
      <w:r w:rsidR="008A6A9C">
        <w:rPr>
          <w:rStyle w:val="longtext"/>
          <w:shd w:val="clear" w:color="auto" w:fill="FFFFFF"/>
          <w:lang w:val="uk-UA"/>
        </w:rPr>
        <w:t xml:space="preserve"> </w:t>
      </w:r>
      <w:r w:rsidRPr="00ED4758">
        <w:rPr>
          <w:rStyle w:val="longtext"/>
          <w:shd w:val="clear" w:color="auto" w:fill="FFFFFF"/>
          <w:lang w:val="en-GB"/>
        </w:rPr>
        <w:t xml:space="preserve">purchased and integrated. </w:t>
      </w:r>
      <w:r w:rsidR="008A6A9C">
        <w:rPr>
          <w:rStyle w:val="longtext"/>
          <w:shd w:val="clear" w:color="auto" w:fill="FFFFFF"/>
          <w:lang w:val="en-GB"/>
        </w:rPr>
        <w:t>C</w:t>
      </w:r>
      <w:r w:rsidRPr="00ED4758">
        <w:rPr>
          <w:rStyle w:val="longtext"/>
          <w:shd w:val="clear" w:color="auto" w:fill="FFFFFF"/>
          <w:lang w:val="en-GB"/>
        </w:rPr>
        <w:t>lient and server software</w:t>
      </w:r>
      <w:r w:rsidR="00B417F3" w:rsidRPr="00ED4758">
        <w:rPr>
          <w:rStyle w:val="longtext"/>
          <w:shd w:val="clear" w:color="auto" w:fill="FFFFFF"/>
          <w:lang w:val="en-GB"/>
        </w:rPr>
        <w:t xml:space="preserve"> was updated</w:t>
      </w:r>
      <w:r w:rsidRPr="00ED4758">
        <w:rPr>
          <w:rStyle w:val="longtext"/>
          <w:shd w:val="clear" w:color="auto" w:fill="FFFFFF"/>
          <w:lang w:val="en-GB"/>
        </w:rPr>
        <w:t xml:space="preserve">. A modern corporate information backup system </w:t>
      </w:r>
      <w:r w:rsidR="00B417F3" w:rsidRPr="00ED4758">
        <w:rPr>
          <w:rStyle w:val="longtext"/>
          <w:shd w:val="clear" w:color="auto" w:fill="FFFFFF"/>
          <w:lang w:val="en-GB"/>
        </w:rPr>
        <w:t>was</w:t>
      </w:r>
      <w:r w:rsidRPr="00ED4758">
        <w:rPr>
          <w:rStyle w:val="longtext"/>
          <w:shd w:val="clear" w:color="auto" w:fill="FFFFFF"/>
          <w:lang w:val="en-GB"/>
        </w:rPr>
        <w:t xml:space="preserve"> implemented.</w:t>
      </w:r>
    </w:p>
    <w:p w14:paraId="2E2E3E6E" w14:textId="43C58B32" w:rsidR="000F786C" w:rsidRPr="00ED4758" w:rsidRDefault="00B417F3" w:rsidP="000F786C">
      <w:pPr>
        <w:ind w:firstLine="567"/>
        <w:jc w:val="both"/>
        <w:rPr>
          <w:rStyle w:val="longtext"/>
          <w:shd w:val="clear" w:color="auto" w:fill="FFFFFF"/>
          <w:lang w:val="en-GB"/>
        </w:rPr>
      </w:pPr>
      <w:r w:rsidRPr="00ED4758">
        <w:rPr>
          <w:rStyle w:val="longtext"/>
          <w:shd w:val="clear" w:color="auto" w:fill="FFFFFF"/>
          <w:lang w:val="en-GB"/>
        </w:rPr>
        <w:t>For remote customer service, t</w:t>
      </w:r>
      <w:r w:rsidR="000F786C" w:rsidRPr="00ED4758">
        <w:rPr>
          <w:rStyle w:val="longtext"/>
          <w:shd w:val="clear" w:color="auto" w:fill="FFFFFF"/>
          <w:lang w:val="en-GB"/>
        </w:rPr>
        <w:t>he introduction of a modern client bank with a mobile application for legal entities has been started.</w:t>
      </w:r>
    </w:p>
    <w:p w14:paraId="080BE3BA" w14:textId="77777777" w:rsidR="000F786C" w:rsidRPr="00ED4758" w:rsidRDefault="000F786C" w:rsidP="000F786C">
      <w:pPr>
        <w:ind w:firstLine="567"/>
        <w:jc w:val="both"/>
        <w:rPr>
          <w:rStyle w:val="longtext"/>
          <w:shd w:val="clear" w:color="auto" w:fill="FFFFFF"/>
          <w:lang w:val="en-GB"/>
        </w:rPr>
      </w:pPr>
      <w:r w:rsidRPr="00ED4758">
        <w:rPr>
          <w:rStyle w:val="longtext"/>
          <w:shd w:val="clear" w:color="auto" w:fill="FFFFFF"/>
          <w:lang w:val="en-GB"/>
        </w:rPr>
        <w:t>In order to counter modern threats to information security, the Bank ensures the continuous implementation of new processes and remedies in accordance with the best practices and requirements of the legislation of Ukraine and the acquisition of appropriate software and hardware.</w:t>
      </w:r>
    </w:p>
    <w:p w14:paraId="444A7709" w14:textId="77777777" w:rsidR="00365DB0" w:rsidRPr="00ED4758" w:rsidRDefault="00365DB0" w:rsidP="00BB34F9">
      <w:pPr>
        <w:pStyle w:val="NormalWeb"/>
        <w:tabs>
          <w:tab w:val="left" w:pos="3969"/>
          <w:tab w:val="left" w:pos="4111"/>
        </w:tabs>
        <w:spacing w:before="0" w:beforeAutospacing="0" w:after="0" w:afterAutospacing="0"/>
        <w:jc w:val="both"/>
        <w:rPr>
          <w:color w:val="000000"/>
          <w:highlight w:val="yellow"/>
          <w:lang w:val="en-GB"/>
        </w:rPr>
      </w:pPr>
    </w:p>
    <w:p w14:paraId="42A4BF65" w14:textId="4F4ECF06" w:rsidR="00B45100" w:rsidRPr="00ED4758" w:rsidRDefault="00715DDD" w:rsidP="00BB34F9">
      <w:pPr>
        <w:rPr>
          <w:b/>
          <w:lang w:val="en-GB"/>
        </w:rPr>
      </w:pPr>
      <w:r w:rsidRPr="00ED4758">
        <w:rPr>
          <w:b/>
          <w:lang w:val="en-GB"/>
        </w:rPr>
        <w:t xml:space="preserve">Performance results </w:t>
      </w:r>
    </w:p>
    <w:p w14:paraId="454F4D2C" w14:textId="77777777" w:rsidR="00EE2CC8" w:rsidRPr="00ED4758" w:rsidRDefault="00EE2CC8" w:rsidP="00BB34F9">
      <w:pPr>
        <w:ind w:firstLine="567"/>
        <w:jc w:val="both"/>
        <w:rPr>
          <w:highlight w:val="yellow"/>
          <w:lang w:val="en-GB"/>
        </w:rPr>
      </w:pPr>
    </w:p>
    <w:p w14:paraId="05AEBCDE" w14:textId="2EB6175F" w:rsidR="00715DDD" w:rsidRPr="00ED4758" w:rsidRDefault="00715DDD" w:rsidP="00BB34F9">
      <w:pPr>
        <w:ind w:firstLine="567"/>
        <w:jc w:val="both"/>
        <w:rPr>
          <w:lang w:val="en-GB"/>
        </w:rPr>
      </w:pPr>
      <w:r w:rsidRPr="00ED4758">
        <w:rPr>
          <w:lang w:val="en-GB"/>
        </w:rPr>
        <w:t>Total assets of the Bank as of 01.01.2020 amounted to UAH 240,468 thousand against UAH 231,783 thousand compared to the corresponding reporting date of last year. The balance sheet currency increase for the year amounted to UAH 8,685 thousand or 4%.</w:t>
      </w:r>
    </w:p>
    <w:p w14:paraId="60E22BD4" w14:textId="76579821" w:rsidR="001E24C5" w:rsidRPr="00ED4758" w:rsidRDefault="001E24C5" w:rsidP="001E24C5">
      <w:pPr>
        <w:ind w:firstLine="567"/>
        <w:jc w:val="both"/>
        <w:rPr>
          <w:lang w:val="en-GB"/>
        </w:rPr>
      </w:pPr>
      <w:r w:rsidRPr="00ED4758">
        <w:rPr>
          <w:lang w:val="en-GB"/>
        </w:rPr>
        <w:t>Investment in securities (domestic government bonds and NBU certificates of deposit) made a significant share in the assets structure. The share of investment in securities in the total assets of the Bank was 71% against 73% in the previous reporting year. As of 01.01.2020, the total value of investment in securities amounted to UAH 169,943 thousand against UAH 169,043 thousand in the previous year, which is by UAH 900 thousand or 1% more. At the same time, the volume of investments in domestic government bonds amounted to UAH 150,908 thousand or 89% of the total value of investment in securities, and investments in deposit certificates amounted to UAH 19,035 thousand or 11% of the total value of investment</w:t>
      </w:r>
      <w:r w:rsidR="008A6A9C">
        <w:rPr>
          <w:lang w:val="en-GB"/>
        </w:rPr>
        <w:t xml:space="preserve"> in securities</w:t>
      </w:r>
      <w:r w:rsidRPr="00ED4758">
        <w:rPr>
          <w:lang w:val="en-GB"/>
        </w:rPr>
        <w:t>.</w:t>
      </w:r>
    </w:p>
    <w:p w14:paraId="1AAB728D" w14:textId="12834935" w:rsidR="001E24C5" w:rsidRPr="00ED4758" w:rsidRDefault="001E24C5" w:rsidP="001E24C5">
      <w:pPr>
        <w:ind w:firstLine="567"/>
        <w:jc w:val="both"/>
        <w:rPr>
          <w:lang w:val="en-GB"/>
        </w:rPr>
      </w:pPr>
      <w:r w:rsidRPr="00ED4758">
        <w:rPr>
          <w:lang w:val="en-GB"/>
        </w:rPr>
        <w:t xml:space="preserve">The Bank did not carry out </w:t>
      </w:r>
      <w:r w:rsidR="008A6A9C">
        <w:rPr>
          <w:lang w:val="en-GB"/>
        </w:rPr>
        <w:t>lending</w:t>
      </w:r>
      <w:r w:rsidRPr="00ED4758">
        <w:rPr>
          <w:lang w:val="en-GB"/>
        </w:rPr>
        <w:t xml:space="preserve"> activities in the reporting year and did not have </w:t>
      </w:r>
      <w:r w:rsidR="008A6A9C">
        <w:rPr>
          <w:lang w:val="en-GB"/>
        </w:rPr>
        <w:t xml:space="preserve">customer </w:t>
      </w:r>
      <w:r w:rsidRPr="00ED4758">
        <w:rPr>
          <w:lang w:val="en-GB"/>
        </w:rPr>
        <w:t xml:space="preserve">loans </w:t>
      </w:r>
      <w:r w:rsidR="008A6A9C">
        <w:rPr>
          <w:lang w:val="en-GB"/>
        </w:rPr>
        <w:t>in</w:t>
      </w:r>
      <w:r w:rsidRPr="00ED4758">
        <w:rPr>
          <w:lang w:val="en-GB"/>
        </w:rPr>
        <w:t xml:space="preserve"> its assets.</w:t>
      </w:r>
    </w:p>
    <w:p w14:paraId="2C4BA7D7" w14:textId="35C33C1A" w:rsidR="004764E8" w:rsidRPr="00ED4758" w:rsidRDefault="004764E8" w:rsidP="004764E8">
      <w:pPr>
        <w:ind w:firstLine="567"/>
        <w:jc w:val="both"/>
        <w:rPr>
          <w:lang w:val="en-GB"/>
        </w:rPr>
      </w:pPr>
      <w:r w:rsidRPr="00ED4758">
        <w:rPr>
          <w:lang w:val="en-GB"/>
        </w:rPr>
        <w:t>Balances on correspondent accounts with the NBU and other banks amounted to UAH 1,161 thousand (</w:t>
      </w:r>
      <w:r w:rsidR="00165A6F" w:rsidRPr="00ED4758">
        <w:rPr>
          <w:lang w:val="en-GB"/>
        </w:rPr>
        <w:t xml:space="preserve">UAH </w:t>
      </w:r>
      <w:r w:rsidRPr="00ED4758">
        <w:rPr>
          <w:lang w:val="en-GB"/>
        </w:rPr>
        <w:t>1,273</w:t>
      </w:r>
      <w:r w:rsidR="00165A6F" w:rsidRPr="00ED4758">
        <w:rPr>
          <w:lang w:val="en-GB"/>
        </w:rPr>
        <w:t xml:space="preserve"> thousand</w:t>
      </w:r>
      <w:r w:rsidRPr="00ED4758">
        <w:rPr>
          <w:lang w:val="en-GB"/>
        </w:rPr>
        <w:t xml:space="preserve"> </w:t>
      </w:r>
      <w:r w:rsidR="008A6A9C">
        <w:rPr>
          <w:lang w:val="en-GB"/>
        </w:rPr>
        <w:t>net</w:t>
      </w:r>
      <w:r w:rsidR="00165A6F" w:rsidRPr="00ED4758">
        <w:rPr>
          <w:lang w:val="en-GB"/>
        </w:rPr>
        <w:t xml:space="preserve"> of</w:t>
      </w:r>
      <w:r w:rsidRPr="00ED4758">
        <w:rPr>
          <w:lang w:val="en-GB"/>
        </w:rPr>
        <w:t xml:space="preserve"> impairment </w:t>
      </w:r>
      <w:r w:rsidR="00165A6F" w:rsidRPr="00ED4758">
        <w:rPr>
          <w:lang w:val="en-GB"/>
        </w:rPr>
        <w:t>provisions</w:t>
      </w:r>
      <w:r w:rsidRPr="00ED4758">
        <w:rPr>
          <w:lang w:val="en-GB"/>
        </w:rPr>
        <w:t>) and UAH 810 thousand (</w:t>
      </w:r>
      <w:r w:rsidR="00165A6F" w:rsidRPr="00ED4758">
        <w:rPr>
          <w:lang w:val="en-GB"/>
        </w:rPr>
        <w:t xml:space="preserve">UAH </w:t>
      </w:r>
      <w:r w:rsidRPr="00ED4758">
        <w:rPr>
          <w:lang w:val="en-GB"/>
        </w:rPr>
        <w:t xml:space="preserve">828 </w:t>
      </w:r>
      <w:r w:rsidR="00165A6F" w:rsidRPr="00ED4758">
        <w:rPr>
          <w:lang w:val="en-GB"/>
        </w:rPr>
        <w:t xml:space="preserve">thousand </w:t>
      </w:r>
      <w:r w:rsidR="008A6A9C">
        <w:rPr>
          <w:lang w:val="en-GB"/>
        </w:rPr>
        <w:t>net</w:t>
      </w:r>
      <w:r w:rsidR="00165A6F" w:rsidRPr="00ED4758">
        <w:rPr>
          <w:lang w:val="en-GB"/>
        </w:rPr>
        <w:t xml:space="preserve"> of</w:t>
      </w:r>
      <w:r w:rsidRPr="00ED4758">
        <w:rPr>
          <w:lang w:val="en-GB"/>
        </w:rPr>
        <w:t xml:space="preserve"> impairment</w:t>
      </w:r>
      <w:r w:rsidR="00165A6F" w:rsidRPr="00ED4758">
        <w:rPr>
          <w:lang w:val="en-GB"/>
        </w:rPr>
        <w:t xml:space="preserve"> provisions</w:t>
      </w:r>
      <w:r w:rsidRPr="00ED4758">
        <w:rPr>
          <w:lang w:val="en-GB"/>
        </w:rPr>
        <w:t>) accordingly, and their share in the Bank's total assets slight</w:t>
      </w:r>
      <w:r w:rsidR="008A6A9C">
        <w:rPr>
          <w:lang w:val="en-GB"/>
        </w:rPr>
        <w:t>ly</w:t>
      </w:r>
      <w:r w:rsidRPr="00ED4758">
        <w:rPr>
          <w:lang w:val="en-GB"/>
        </w:rPr>
        <w:t xml:space="preserve"> increase</w:t>
      </w:r>
      <w:r w:rsidR="008A6A9C">
        <w:rPr>
          <w:lang w:val="en-GB"/>
        </w:rPr>
        <w:t>d</w:t>
      </w:r>
      <w:r w:rsidRPr="00ED4758">
        <w:rPr>
          <w:lang w:val="en-GB"/>
        </w:rPr>
        <w:t xml:space="preserve"> (from 0.35% at the previous reporting date to 0.5% at the reporting date </w:t>
      </w:r>
      <w:r w:rsidR="00165A6F" w:rsidRPr="00ED4758">
        <w:rPr>
          <w:lang w:val="en-GB"/>
        </w:rPr>
        <w:t xml:space="preserve">as of </w:t>
      </w:r>
      <w:r w:rsidRPr="00ED4758">
        <w:rPr>
          <w:lang w:val="en-GB"/>
        </w:rPr>
        <w:t>01.01.2020);</w:t>
      </w:r>
    </w:p>
    <w:p w14:paraId="0BC9F54A" w14:textId="54F82277" w:rsidR="004764E8" w:rsidRPr="00ED4758" w:rsidRDefault="004764E8" w:rsidP="004764E8">
      <w:pPr>
        <w:ind w:firstLine="567"/>
        <w:jc w:val="both"/>
        <w:rPr>
          <w:lang w:val="en-GB"/>
        </w:rPr>
      </w:pPr>
      <w:r w:rsidRPr="00ED4758">
        <w:rPr>
          <w:lang w:val="en-GB"/>
        </w:rPr>
        <w:lastRenderedPageBreak/>
        <w:t xml:space="preserve">The total amount of intangible assets, fixed assets and investment </w:t>
      </w:r>
      <w:r w:rsidR="00165A6F" w:rsidRPr="00ED4758">
        <w:rPr>
          <w:lang w:val="en-GB"/>
        </w:rPr>
        <w:t>property</w:t>
      </w:r>
      <w:r w:rsidRPr="00ED4758">
        <w:rPr>
          <w:lang w:val="en-GB"/>
        </w:rPr>
        <w:t xml:space="preserve"> amounted to UAH 65</w:t>
      </w:r>
      <w:r w:rsidR="00165A6F" w:rsidRPr="00ED4758">
        <w:rPr>
          <w:lang w:val="en-GB"/>
        </w:rPr>
        <w:t>,</w:t>
      </w:r>
      <w:r w:rsidRPr="00ED4758">
        <w:rPr>
          <w:lang w:val="en-GB"/>
        </w:rPr>
        <w:t>491 thousand (27% of total assets of the Bank) against UAH 56</w:t>
      </w:r>
      <w:r w:rsidR="00165A6F" w:rsidRPr="00ED4758">
        <w:rPr>
          <w:lang w:val="en-GB"/>
        </w:rPr>
        <w:t>,</w:t>
      </w:r>
      <w:r w:rsidRPr="00ED4758">
        <w:rPr>
          <w:lang w:val="en-GB"/>
        </w:rPr>
        <w:t xml:space="preserve">399 thousand (24% of the total assets of the Bank) at the beginning of the reporting year </w:t>
      </w:r>
      <w:r w:rsidRPr="00ED4758">
        <w:rPr>
          <w:i/>
          <w:iCs/>
          <w:lang w:val="en-GB"/>
        </w:rPr>
        <w:t>i</w:t>
      </w:r>
      <w:r w:rsidR="00165A6F" w:rsidRPr="00ED4758">
        <w:rPr>
          <w:i/>
          <w:iCs/>
          <w:lang w:val="en-GB"/>
        </w:rPr>
        <w:t>.</w:t>
      </w:r>
      <w:r w:rsidRPr="00ED4758">
        <w:rPr>
          <w:i/>
          <w:iCs/>
          <w:lang w:val="en-GB"/>
        </w:rPr>
        <w:t>e</w:t>
      </w:r>
      <w:r w:rsidR="00165A6F" w:rsidRPr="00ED4758">
        <w:rPr>
          <w:i/>
          <w:iCs/>
          <w:lang w:val="en-GB"/>
        </w:rPr>
        <w:t>.</w:t>
      </w:r>
      <w:r w:rsidRPr="00ED4758">
        <w:rPr>
          <w:lang w:val="en-GB"/>
        </w:rPr>
        <w:t xml:space="preserve"> by UAH 9</w:t>
      </w:r>
      <w:r w:rsidR="00165A6F" w:rsidRPr="00ED4758">
        <w:rPr>
          <w:lang w:val="en-GB"/>
        </w:rPr>
        <w:t>,</w:t>
      </w:r>
      <w:r w:rsidRPr="00ED4758">
        <w:rPr>
          <w:lang w:val="en-GB"/>
        </w:rPr>
        <w:t>092 thousand more.</w:t>
      </w:r>
    </w:p>
    <w:p w14:paraId="17211E8D" w14:textId="63F99081" w:rsidR="00165A6F" w:rsidRPr="00ED4758" w:rsidRDefault="00165A6F" w:rsidP="00165A6F">
      <w:pPr>
        <w:ind w:firstLine="567"/>
        <w:jc w:val="both"/>
        <w:rPr>
          <w:lang w:val="en-GB"/>
        </w:rPr>
      </w:pPr>
      <w:r w:rsidRPr="00ED4758">
        <w:rPr>
          <w:lang w:val="en-GB"/>
        </w:rPr>
        <w:t xml:space="preserve">Other assets in the amount of UAH 1,002 thousand made 0.4% of total assets and </w:t>
      </w:r>
      <w:r w:rsidR="008A6A9C">
        <w:rPr>
          <w:lang w:val="en-GB"/>
        </w:rPr>
        <w:t>had made</w:t>
      </w:r>
      <w:r w:rsidRPr="00ED4758">
        <w:rPr>
          <w:lang w:val="en-GB"/>
        </w:rPr>
        <w:t xml:space="preserve"> UAH 1,802 thousand or 64% less than at the previous annual reporting date.</w:t>
      </w:r>
    </w:p>
    <w:p w14:paraId="6C9DB6A6" w14:textId="4DBD64D3" w:rsidR="00165A6F" w:rsidRPr="00ED4758" w:rsidRDefault="00165A6F" w:rsidP="00165A6F">
      <w:pPr>
        <w:ind w:firstLine="567"/>
        <w:jc w:val="both"/>
        <w:rPr>
          <w:lang w:val="en-GB"/>
        </w:rPr>
      </w:pPr>
      <w:r w:rsidRPr="00ED4758">
        <w:rPr>
          <w:lang w:val="en-GB"/>
        </w:rPr>
        <w:t xml:space="preserve">The total liabilities of the Bank for the reporting year increased by UAH 13,094 thousand or 39% and amounted to UAH 46,812 thousand, including: clients' money - UAH 9,135 thousand, subordinated debt (including discounts / premiums and </w:t>
      </w:r>
      <w:r w:rsidRPr="008A6A9C">
        <w:rPr>
          <w:lang w:val="en-GB"/>
        </w:rPr>
        <w:t xml:space="preserve">accrued </w:t>
      </w:r>
      <w:r w:rsidR="008A6A9C">
        <w:rPr>
          <w:lang w:val="en-GB"/>
        </w:rPr>
        <w:t>interest</w:t>
      </w:r>
      <w:r w:rsidRPr="00ED4758">
        <w:rPr>
          <w:lang w:val="en-GB"/>
        </w:rPr>
        <w:t>) - UAH 36,247 thousand; and other liabilities - UAH 1,430 thousand.</w:t>
      </w:r>
    </w:p>
    <w:p w14:paraId="0C83A0AE" w14:textId="416CAB4A" w:rsidR="00165A6F" w:rsidRPr="00ED4758" w:rsidRDefault="00165A6F" w:rsidP="00165A6F">
      <w:pPr>
        <w:ind w:firstLine="567"/>
        <w:jc w:val="both"/>
        <w:rPr>
          <w:lang w:val="en-GB"/>
        </w:rPr>
      </w:pPr>
      <w:r w:rsidRPr="00ED4758">
        <w:rPr>
          <w:lang w:val="en-GB"/>
        </w:rPr>
        <w:t xml:space="preserve">As of 01.01.2020, the Bank's equity amounted to UAH 193,656 thousand against </w:t>
      </w:r>
      <w:r w:rsidR="00FE7472">
        <w:rPr>
          <w:lang w:val="en-GB"/>
        </w:rPr>
        <w:t xml:space="preserve">UAH </w:t>
      </w:r>
      <w:r w:rsidRPr="00ED4758">
        <w:rPr>
          <w:lang w:val="en-GB"/>
        </w:rPr>
        <w:t>198,065 thousand as of the beginning of the reporting year, which is UAH 4,409 thousand less, and accounted for 81% of all the Bank's liabilities.</w:t>
      </w:r>
    </w:p>
    <w:p w14:paraId="2E962747" w14:textId="3185DA0A" w:rsidR="00EE2CC8" w:rsidRPr="00ED4758" w:rsidRDefault="00EE2CC8" w:rsidP="00BB34F9">
      <w:pPr>
        <w:jc w:val="center"/>
        <w:rPr>
          <w:lang w:val="en-GB"/>
        </w:rPr>
      </w:pPr>
      <w:r w:rsidRPr="00ED4758">
        <w:rPr>
          <w:noProof/>
          <w:lang w:val="en-GB" w:eastAsia="en-US"/>
        </w:rPr>
        <w:drawing>
          <wp:inline distT="0" distB="0" distL="0" distR="0" wp14:anchorId="2CE3617E" wp14:editId="1CBCBD5A">
            <wp:extent cx="6172256" cy="2982346"/>
            <wp:effectExtent l="0" t="0" r="0" b="254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tretch>
                      <a:fillRect/>
                    </a:stretch>
                  </pic:blipFill>
                  <pic:spPr bwMode="auto">
                    <a:xfrm>
                      <a:off x="0" y="0"/>
                      <a:ext cx="6172256" cy="2982346"/>
                    </a:xfrm>
                    <a:prstGeom prst="rect">
                      <a:avLst/>
                    </a:prstGeom>
                    <a:noFill/>
                  </pic:spPr>
                </pic:pic>
              </a:graphicData>
            </a:graphic>
          </wp:inline>
        </w:drawing>
      </w:r>
    </w:p>
    <w:p w14:paraId="28B5357E" w14:textId="4E8816FA" w:rsidR="00DD2149" w:rsidRPr="00ED4758" w:rsidRDefault="00DD2149" w:rsidP="00BB34F9">
      <w:pPr>
        <w:ind w:firstLine="567"/>
        <w:jc w:val="both"/>
        <w:rPr>
          <w:lang w:val="en-GB"/>
        </w:rPr>
      </w:pPr>
      <w:r w:rsidRPr="00ED4758">
        <w:rPr>
          <w:lang w:val="en-GB"/>
        </w:rPr>
        <w:t>The total amount of interest income received by the Bank in the reporting year amounted to UAH 28,918 thousand, which is UAH 1,616 thousand more compared to the previous year</w:t>
      </w:r>
      <w:r w:rsidR="00FE7472">
        <w:rPr>
          <w:lang w:val="en-GB"/>
        </w:rPr>
        <w:t>,</w:t>
      </w:r>
      <w:r w:rsidRPr="00ED4758">
        <w:rPr>
          <w:lang w:val="en-GB"/>
        </w:rPr>
        <w:t xml:space="preserve"> mainly due to higher average annual investment in government securities. Interest income was received from the domestic government bonds and deposit certificates issued the National Bank of Ukraine in the amount of UAH 25,279 thousand and UAH 3,640 thousand respectively. The total amount of interest expenses for the year amounted to UAH 5,414 thousand, which is UAH 583,000 thousand more than the previous year. Interest expenses consisted of</w:t>
      </w:r>
      <w:r w:rsidR="00FE7472">
        <w:rPr>
          <w:lang w:val="en-GB"/>
        </w:rPr>
        <w:t xml:space="preserve"> interest</w:t>
      </w:r>
      <w:r w:rsidRPr="00ED4758">
        <w:rPr>
          <w:lang w:val="en-GB"/>
        </w:rPr>
        <w:t xml:space="preserve"> on deposits of individuals - UAH 1 thousand and </w:t>
      </w:r>
      <w:r w:rsidR="00FE7472">
        <w:rPr>
          <w:lang w:val="en-GB"/>
        </w:rPr>
        <w:t xml:space="preserve">interest </w:t>
      </w:r>
      <w:r w:rsidRPr="00ED4758">
        <w:rPr>
          <w:lang w:val="en-GB"/>
        </w:rPr>
        <w:t>on subordinated debt - UAH 5,413 thousand. Net interest income amounted to UAH 23,504 thousand against UAH 22,471 thousand in 2018, which is UAH 1,033 thousand more.</w:t>
      </w:r>
    </w:p>
    <w:p w14:paraId="7533544F" w14:textId="77777777" w:rsidR="00EE2CC8" w:rsidRPr="00ED4758" w:rsidRDefault="00EE2CC8" w:rsidP="00BB34F9">
      <w:pPr>
        <w:jc w:val="center"/>
        <w:rPr>
          <w:lang w:val="en-GB"/>
        </w:rPr>
      </w:pPr>
      <w:r w:rsidRPr="00ED4758">
        <w:rPr>
          <w:noProof/>
          <w:lang w:val="en-GB" w:eastAsia="en-US"/>
        </w:rPr>
        <w:lastRenderedPageBreak/>
        <w:drawing>
          <wp:inline distT="0" distB="0" distL="0" distR="0" wp14:anchorId="2283EAE8" wp14:editId="4FF8AB29">
            <wp:extent cx="5542043" cy="33161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tretch>
                      <a:fillRect/>
                    </a:stretch>
                  </pic:blipFill>
                  <pic:spPr bwMode="auto">
                    <a:xfrm>
                      <a:off x="0" y="0"/>
                      <a:ext cx="5542043" cy="3316140"/>
                    </a:xfrm>
                    <a:prstGeom prst="rect">
                      <a:avLst/>
                    </a:prstGeom>
                    <a:noFill/>
                  </pic:spPr>
                </pic:pic>
              </a:graphicData>
            </a:graphic>
          </wp:inline>
        </w:drawing>
      </w:r>
    </w:p>
    <w:p w14:paraId="33D96D46" w14:textId="77777777" w:rsidR="00DD2149" w:rsidRPr="00ED4758" w:rsidRDefault="00DD2149" w:rsidP="00DD2149">
      <w:pPr>
        <w:ind w:firstLine="567"/>
        <w:jc w:val="both"/>
        <w:rPr>
          <w:lang w:val="en-GB"/>
        </w:rPr>
      </w:pPr>
    </w:p>
    <w:p w14:paraId="50BEEFAB" w14:textId="6A221093" w:rsidR="00DD2149" w:rsidRPr="00ED4758" w:rsidRDefault="00DD2149" w:rsidP="00DD2149">
      <w:pPr>
        <w:ind w:firstLine="567"/>
        <w:jc w:val="both"/>
        <w:rPr>
          <w:lang w:val="en-GB"/>
        </w:rPr>
      </w:pPr>
      <w:r w:rsidRPr="00ED4758">
        <w:rPr>
          <w:lang w:val="en-GB"/>
        </w:rPr>
        <w:t>The result of buying and selling foreign currency for the reporting year was positive and amounted to UAH 28 thousand (UAH 30 thousand positive amount for the previous year), while the revaluation result was negative, amounting to UAH 277 thousand (UAH 34 thousand negative amount in the previous year)</w:t>
      </w:r>
    </w:p>
    <w:p w14:paraId="47FD5F05" w14:textId="296E21FE" w:rsidR="00DD2149" w:rsidRPr="00ED4758" w:rsidRDefault="00DD2149" w:rsidP="00DD2149">
      <w:pPr>
        <w:ind w:firstLine="567"/>
        <w:jc w:val="both"/>
        <w:rPr>
          <w:lang w:val="en-GB"/>
        </w:rPr>
      </w:pPr>
      <w:r w:rsidRPr="00ED4758">
        <w:rPr>
          <w:lang w:val="en-GB"/>
        </w:rPr>
        <w:t>Other operating income amounted to UAH 54 thousand</w:t>
      </w:r>
      <w:r w:rsidR="00FE7472">
        <w:rPr>
          <w:lang w:val="en-GB"/>
        </w:rPr>
        <w:t xml:space="preserve"> </w:t>
      </w:r>
      <w:r w:rsidRPr="00ED4758">
        <w:rPr>
          <w:lang w:val="en-GB"/>
        </w:rPr>
        <w:t xml:space="preserve">and </w:t>
      </w:r>
      <w:r w:rsidR="00FE7472">
        <w:rPr>
          <w:lang w:val="en-GB"/>
        </w:rPr>
        <w:t>was</w:t>
      </w:r>
      <w:r w:rsidRPr="00ED4758">
        <w:rPr>
          <w:lang w:val="en-GB"/>
        </w:rPr>
        <w:t xml:space="preserve"> received in the form of bank </w:t>
      </w:r>
      <w:r w:rsidR="007766DA" w:rsidRPr="00ED4758">
        <w:rPr>
          <w:lang w:val="en-GB"/>
        </w:rPr>
        <w:t xml:space="preserve">premise </w:t>
      </w:r>
      <w:r w:rsidRPr="00ED4758">
        <w:rPr>
          <w:lang w:val="en-GB"/>
        </w:rPr>
        <w:t xml:space="preserve">lease payments and as a result of disposal of </w:t>
      </w:r>
      <w:r w:rsidR="00FE7472">
        <w:rPr>
          <w:lang w:val="en-GB"/>
        </w:rPr>
        <w:t xml:space="preserve">the </w:t>
      </w:r>
      <w:r w:rsidRPr="00ED4758">
        <w:rPr>
          <w:lang w:val="en-GB"/>
        </w:rPr>
        <w:t>investment property.</w:t>
      </w:r>
    </w:p>
    <w:p w14:paraId="009739DE" w14:textId="67FB9A97" w:rsidR="00E971B1" w:rsidRPr="00ED4758" w:rsidRDefault="00DD2149" w:rsidP="007766DA">
      <w:pPr>
        <w:ind w:firstLine="567"/>
        <w:jc w:val="both"/>
        <w:rPr>
          <w:lang w:val="en-GB"/>
        </w:rPr>
      </w:pPr>
      <w:r w:rsidRPr="00ED4758">
        <w:rPr>
          <w:lang w:val="en-GB"/>
        </w:rPr>
        <w:t xml:space="preserve">The amount of general administrative and other operating expenses incurred in the reporting year amounted to </w:t>
      </w:r>
      <w:r w:rsidR="007766DA" w:rsidRPr="00ED4758">
        <w:rPr>
          <w:lang w:val="en-GB"/>
        </w:rPr>
        <w:t xml:space="preserve">UAH </w:t>
      </w:r>
      <w:r w:rsidRPr="00ED4758">
        <w:rPr>
          <w:lang w:val="en-GB"/>
        </w:rPr>
        <w:t>26</w:t>
      </w:r>
      <w:r w:rsidR="007766DA" w:rsidRPr="00ED4758">
        <w:rPr>
          <w:lang w:val="en-GB"/>
        </w:rPr>
        <w:t>,</w:t>
      </w:r>
      <w:r w:rsidRPr="00ED4758">
        <w:rPr>
          <w:lang w:val="en-GB"/>
        </w:rPr>
        <w:t xml:space="preserve">788 thousand, which is </w:t>
      </w:r>
      <w:r w:rsidR="007766DA" w:rsidRPr="00ED4758">
        <w:rPr>
          <w:lang w:val="en-GB"/>
        </w:rPr>
        <w:t xml:space="preserve">UAH </w:t>
      </w:r>
      <w:r w:rsidRPr="00ED4758">
        <w:rPr>
          <w:lang w:val="en-GB"/>
        </w:rPr>
        <w:t>12</w:t>
      </w:r>
      <w:r w:rsidR="007766DA" w:rsidRPr="00ED4758">
        <w:rPr>
          <w:lang w:val="en-GB"/>
        </w:rPr>
        <w:t>,</w:t>
      </w:r>
      <w:r w:rsidRPr="00ED4758">
        <w:rPr>
          <w:lang w:val="en-GB"/>
        </w:rPr>
        <w:t xml:space="preserve">296 thousand more than in the previous </w:t>
      </w:r>
      <w:r w:rsidR="007766DA" w:rsidRPr="00ED4758">
        <w:rPr>
          <w:lang w:val="en-GB"/>
        </w:rPr>
        <w:t>year</w:t>
      </w:r>
      <w:r w:rsidRPr="00ED4758">
        <w:rPr>
          <w:lang w:val="en-GB"/>
        </w:rPr>
        <w:t xml:space="preserve">. The most significant component of this </w:t>
      </w:r>
      <w:r w:rsidR="007766DA" w:rsidRPr="00ED4758">
        <w:rPr>
          <w:lang w:val="en-GB"/>
        </w:rPr>
        <w:t>item</w:t>
      </w:r>
      <w:r w:rsidRPr="00ED4758">
        <w:rPr>
          <w:lang w:val="en-GB"/>
        </w:rPr>
        <w:t xml:space="preserve"> is the cost of payments</w:t>
      </w:r>
      <w:r w:rsidR="007766DA" w:rsidRPr="00ED4758">
        <w:rPr>
          <w:lang w:val="en-GB"/>
        </w:rPr>
        <w:t xml:space="preserve"> to employees</w:t>
      </w:r>
      <w:r w:rsidRPr="00ED4758">
        <w:rPr>
          <w:lang w:val="en-GB"/>
        </w:rPr>
        <w:t xml:space="preserve"> which</w:t>
      </w:r>
      <w:r w:rsidR="007766DA" w:rsidRPr="00ED4758">
        <w:rPr>
          <w:lang w:val="en-GB"/>
        </w:rPr>
        <w:t>,</w:t>
      </w:r>
      <w:r w:rsidRPr="00ED4758">
        <w:rPr>
          <w:lang w:val="en-GB"/>
        </w:rPr>
        <w:t xml:space="preserve"> compared to the previous year</w:t>
      </w:r>
      <w:r w:rsidR="007766DA" w:rsidRPr="00ED4758">
        <w:rPr>
          <w:lang w:val="en-GB"/>
        </w:rPr>
        <w:t>,</w:t>
      </w:r>
      <w:r w:rsidRPr="00ED4758">
        <w:rPr>
          <w:lang w:val="en-GB"/>
        </w:rPr>
        <w:t xml:space="preserve"> increased by 92% and as of 01.01.2020 amounted to </w:t>
      </w:r>
      <w:r w:rsidR="007766DA" w:rsidRPr="00ED4758">
        <w:rPr>
          <w:lang w:val="en-GB"/>
        </w:rPr>
        <w:t xml:space="preserve">UAH </w:t>
      </w:r>
      <w:r w:rsidRPr="00ED4758">
        <w:rPr>
          <w:lang w:val="en-GB"/>
        </w:rPr>
        <w:t>19</w:t>
      </w:r>
      <w:r w:rsidR="007766DA" w:rsidRPr="00ED4758">
        <w:rPr>
          <w:lang w:val="en-GB"/>
        </w:rPr>
        <w:t>,</w:t>
      </w:r>
      <w:r w:rsidRPr="00ED4758">
        <w:rPr>
          <w:lang w:val="en-GB"/>
        </w:rPr>
        <w:t xml:space="preserve">537 thousand. This significant increase is associated with </w:t>
      </w:r>
      <w:r w:rsidR="007766DA" w:rsidRPr="00ED4758">
        <w:rPr>
          <w:lang w:val="en-GB"/>
        </w:rPr>
        <w:t>creating new jobs</w:t>
      </w:r>
      <w:r w:rsidRPr="00ED4758">
        <w:rPr>
          <w:lang w:val="en-GB"/>
        </w:rPr>
        <w:t xml:space="preserve"> and an overall increase in employee remuneration in line with market conditions in the reporting year.</w:t>
      </w:r>
    </w:p>
    <w:p w14:paraId="3A667F0D" w14:textId="57070A3D" w:rsidR="007766DA" w:rsidRPr="00ED4758" w:rsidRDefault="007766DA" w:rsidP="007766DA">
      <w:pPr>
        <w:ind w:firstLine="567"/>
        <w:jc w:val="both"/>
        <w:rPr>
          <w:lang w:val="en-GB"/>
        </w:rPr>
      </w:pPr>
      <w:r w:rsidRPr="00ED4758">
        <w:rPr>
          <w:lang w:val="en-GB"/>
        </w:rPr>
        <w:t>According to the management's reports, the total income of the Bank for the reporting year amounted to UAH 28</w:t>
      </w:r>
      <w:r w:rsidR="00FE7472">
        <w:rPr>
          <w:lang w:val="en-GB"/>
        </w:rPr>
        <w:t>,</w:t>
      </w:r>
      <w:r w:rsidRPr="00ED4758">
        <w:rPr>
          <w:lang w:val="en-GB"/>
        </w:rPr>
        <w:t>779 thousand against UAH 27</w:t>
      </w:r>
      <w:r w:rsidR="00BD73DB" w:rsidRPr="00ED4758">
        <w:rPr>
          <w:lang w:val="en-GB"/>
        </w:rPr>
        <w:t>,</w:t>
      </w:r>
      <w:r w:rsidRPr="00ED4758">
        <w:rPr>
          <w:lang w:val="en-GB"/>
        </w:rPr>
        <w:t>452 thousand</w:t>
      </w:r>
      <w:r w:rsidR="00BD73DB" w:rsidRPr="00ED4758">
        <w:rPr>
          <w:lang w:val="en-GB"/>
        </w:rPr>
        <w:t>.</w:t>
      </w:r>
      <w:r w:rsidRPr="00ED4758">
        <w:rPr>
          <w:lang w:val="en-GB"/>
        </w:rPr>
        <w:t xml:space="preserve"> For the purpose of </w:t>
      </w:r>
      <w:r w:rsidR="00FE7472">
        <w:rPr>
          <w:lang w:val="en-GB"/>
        </w:rPr>
        <w:t xml:space="preserve">the </w:t>
      </w:r>
      <w:r w:rsidRPr="00ED4758">
        <w:rPr>
          <w:lang w:val="en-GB"/>
        </w:rPr>
        <w:t xml:space="preserve">management reporting, the following items are included in the composition of </w:t>
      </w:r>
      <w:r w:rsidR="00FE7472">
        <w:rPr>
          <w:lang w:val="en-GB"/>
        </w:rPr>
        <w:t>total</w:t>
      </w:r>
      <w:r w:rsidRPr="00ED4758">
        <w:rPr>
          <w:lang w:val="en-GB"/>
        </w:rPr>
        <w:t xml:space="preserve"> income: interest income, commission income, the result of </w:t>
      </w:r>
      <w:r w:rsidR="00BD73DB" w:rsidRPr="00ED4758">
        <w:rPr>
          <w:lang w:val="en-GB"/>
        </w:rPr>
        <w:t xml:space="preserve">currency </w:t>
      </w:r>
      <w:r w:rsidRPr="00ED4758">
        <w:rPr>
          <w:lang w:val="en-GB"/>
        </w:rPr>
        <w:t xml:space="preserve">revaluation and transactions, other income. </w:t>
      </w:r>
      <w:r w:rsidR="00BD73DB" w:rsidRPr="00ED4758">
        <w:rPr>
          <w:lang w:val="en-GB"/>
        </w:rPr>
        <w:t>According to the management report</w:t>
      </w:r>
      <w:r w:rsidR="00FE7472">
        <w:rPr>
          <w:lang w:val="en-GB"/>
        </w:rPr>
        <w:t>ing</w:t>
      </w:r>
      <w:r w:rsidR="00BD73DB" w:rsidRPr="00ED4758">
        <w:rPr>
          <w:lang w:val="en-GB"/>
        </w:rPr>
        <w:t>, t</w:t>
      </w:r>
      <w:r w:rsidRPr="00ED4758">
        <w:rPr>
          <w:lang w:val="en-GB"/>
        </w:rPr>
        <w:t xml:space="preserve">he </w:t>
      </w:r>
      <w:r w:rsidR="00FE7472">
        <w:rPr>
          <w:lang w:val="en-GB"/>
        </w:rPr>
        <w:t>total</w:t>
      </w:r>
      <w:r w:rsidRPr="00ED4758">
        <w:rPr>
          <w:lang w:val="en-GB"/>
        </w:rPr>
        <w:t xml:space="preserve"> </w:t>
      </w:r>
      <w:r w:rsidR="00BD73DB" w:rsidRPr="00ED4758">
        <w:rPr>
          <w:lang w:val="en-GB"/>
        </w:rPr>
        <w:t>expenses</w:t>
      </w:r>
      <w:r w:rsidRPr="00ED4758">
        <w:rPr>
          <w:lang w:val="en-GB"/>
        </w:rPr>
        <w:t xml:space="preserve"> of the Bank for 2019 amounted to UAH 33</w:t>
      </w:r>
      <w:r w:rsidR="00BD73DB" w:rsidRPr="00ED4758">
        <w:rPr>
          <w:lang w:val="en-GB"/>
        </w:rPr>
        <w:t>,</w:t>
      </w:r>
      <w:r w:rsidRPr="00ED4758">
        <w:rPr>
          <w:lang w:val="en-GB"/>
        </w:rPr>
        <w:t xml:space="preserve">188 thousand against </w:t>
      </w:r>
      <w:r w:rsidR="00BD73DB" w:rsidRPr="00ED4758">
        <w:rPr>
          <w:lang w:val="en-GB"/>
        </w:rPr>
        <w:t xml:space="preserve">UAH </w:t>
      </w:r>
      <w:r w:rsidRPr="00ED4758">
        <w:rPr>
          <w:lang w:val="en-GB"/>
        </w:rPr>
        <w:t>19</w:t>
      </w:r>
      <w:r w:rsidR="00BD73DB" w:rsidRPr="00ED4758">
        <w:rPr>
          <w:lang w:val="en-GB"/>
        </w:rPr>
        <w:t>,</w:t>
      </w:r>
      <w:r w:rsidRPr="00ED4758">
        <w:rPr>
          <w:lang w:val="en-GB"/>
        </w:rPr>
        <w:t>301 thousand in 2018. For the purpose of management reporting, interest and commission expenses, expenses for impairment of assets, general administrative and other</w:t>
      </w:r>
      <w:r w:rsidR="00BD73DB" w:rsidRPr="00ED4758">
        <w:rPr>
          <w:lang w:val="en-GB"/>
        </w:rPr>
        <w:t xml:space="preserve"> expenses </w:t>
      </w:r>
      <w:r w:rsidRPr="00ED4758">
        <w:rPr>
          <w:lang w:val="en-GB"/>
        </w:rPr>
        <w:t xml:space="preserve">are included in the composition of </w:t>
      </w:r>
      <w:r w:rsidR="00FE7472">
        <w:rPr>
          <w:lang w:val="en-GB"/>
        </w:rPr>
        <w:t>total</w:t>
      </w:r>
      <w:r w:rsidRPr="00ED4758">
        <w:rPr>
          <w:lang w:val="en-GB"/>
        </w:rPr>
        <w:t xml:space="preserve"> expenses. As a result of its activities in the reporting year, the Bank received a financial result in the amount of UAH 4</w:t>
      </w:r>
      <w:r w:rsidR="00BD73DB" w:rsidRPr="00ED4758">
        <w:rPr>
          <w:lang w:val="en-GB"/>
        </w:rPr>
        <w:t>,</w:t>
      </w:r>
      <w:r w:rsidRPr="00ED4758">
        <w:rPr>
          <w:lang w:val="en-GB"/>
        </w:rPr>
        <w:t xml:space="preserve">409 thousand </w:t>
      </w:r>
      <w:r w:rsidR="00BD73DB" w:rsidRPr="00ED4758">
        <w:rPr>
          <w:lang w:val="en-GB"/>
        </w:rPr>
        <w:t xml:space="preserve">loss </w:t>
      </w:r>
      <w:r w:rsidRPr="00ED4758">
        <w:rPr>
          <w:lang w:val="en-GB"/>
        </w:rPr>
        <w:t xml:space="preserve">against profit in the amount of </w:t>
      </w:r>
      <w:r w:rsidR="00FE7472">
        <w:rPr>
          <w:lang w:val="en-GB"/>
        </w:rPr>
        <w:t xml:space="preserve">UAH </w:t>
      </w:r>
      <w:r w:rsidRPr="00ED4758">
        <w:rPr>
          <w:lang w:val="en-GB"/>
        </w:rPr>
        <w:t>8</w:t>
      </w:r>
      <w:r w:rsidR="00BD73DB" w:rsidRPr="00ED4758">
        <w:rPr>
          <w:lang w:val="en-GB"/>
        </w:rPr>
        <w:t>,</w:t>
      </w:r>
      <w:r w:rsidRPr="00ED4758">
        <w:rPr>
          <w:lang w:val="en-GB"/>
        </w:rPr>
        <w:t>151 thousand in the previous year</w:t>
      </w:r>
      <w:r w:rsidR="00BD73DB" w:rsidRPr="00ED4758">
        <w:rPr>
          <w:lang w:val="en-GB"/>
        </w:rPr>
        <w:t>.</w:t>
      </w:r>
      <w:r w:rsidRPr="00ED4758">
        <w:rPr>
          <w:lang w:val="en-GB"/>
        </w:rPr>
        <w:t xml:space="preserve"> </w:t>
      </w:r>
      <w:r w:rsidR="00BD73DB" w:rsidRPr="00ED4758">
        <w:rPr>
          <w:lang w:val="en-GB"/>
        </w:rPr>
        <w:t>This is caused mainly by a</w:t>
      </w:r>
      <w:r w:rsidR="00FE7472">
        <w:rPr>
          <w:lang w:val="en-GB"/>
        </w:rPr>
        <w:t xml:space="preserve"> </w:t>
      </w:r>
      <w:r w:rsidRPr="00ED4758">
        <w:rPr>
          <w:lang w:val="en-GB"/>
        </w:rPr>
        <w:t xml:space="preserve">significant increase in expenses due to an increase in the number of staff and a corresponding increase in maintenance costs and associated expenses </w:t>
      </w:r>
      <w:r w:rsidR="00BD73DB" w:rsidRPr="00ED4758">
        <w:rPr>
          <w:lang w:val="en-GB"/>
        </w:rPr>
        <w:t>in the light of</w:t>
      </w:r>
      <w:r w:rsidRPr="00ED4758">
        <w:rPr>
          <w:lang w:val="en-GB"/>
        </w:rPr>
        <w:t xml:space="preserve"> much lower increase in income due to decrease </w:t>
      </w:r>
      <w:r w:rsidR="00FE7472">
        <w:rPr>
          <w:lang w:val="en-GB"/>
        </w:rPr>
        <w:t>of</w:t>
      </w:r>
      <w:r w:rsidRPr="00ED4758">
        <w:rPr>
          <w:lang w:val="en-GB"/>
        </w:rPr>
        <w:t xml:space="preserve"> the NBU </w:t>
      </w:r>
      <w:r w:rsidR="00BD73DB" w:rsidRPr="00ED4758">
        <w:rPr>
          <w:lang w:val="en-GB"/>
        </w:rPr>
        <w:t>interest rate</w:t>
      </w:r>
      <w:r w:rsidRPr="00ED4758">
        <w:rPr>
          <w:lang w:val="en-GB"/>
        </w:rPr>
        <w:t xml:space="preserve"> in 2019 and </w:t>
      </w:r>
      <w:r w:rsidR="00BD73DB" w:rsidRPr="00ED4758">
        <w:rPr>
          <w:lang w:val="en-GB"/>
        </w:rPr>
        <w:t>respective</w:t>
      </w:r>
      <w:r w:rsidRPr="00ED4758">
        <w:rPr>
          <w:lang w:val="en-GB"/>
        </w:rPr>
        <w:t xml:space="preserve"> decrease </w:t>
      </w:r>
      <w:r w:rsidR="00BD73DB" w:rsidRPr="00ED4758">
        <w:rPr>
          <w:lang w:val="en-GB"/>
        </w:rPr>
        <w:t>of return on</w:t>
      </w:r>
      <w:r w:rsidRPr="00ED4758">
        <w:rPr>
          <w:lang w:val="en-GB"/>
        </w:rPr>
        <w:t xml:space="preserve"> domestic government bonds and </w:t>
      </w:r>
      <w:r w:rsidR="00FE7472">
        <w:rPr>
          <w:lang w:val="en-GB"/>
        </w:rPr>
        <w:t xml:space="preserve">deposit </w:t>
      </w:r>
      <w:r w:rsidRPr="00ED4758">
        <w:rPr>
          <w:lang w:val="en-GB"/>
        </w:rPr>
        <w:t>certificates</w:t>
      </w:r>
      <w:r w:rsidR="00BD73DB" w:rsidRPr="00ED4758">
        <w:rPr>
          <w:lang w:val="en-GB"/>
        </w:rPr>
        <w:t>:</w:t>
      </w:r>
    </w:p>
    <w:p w14:paraId="59172B3D" w14:textId="77777777" w:rsidR="00EE2CC8" w:rsidRPr="00ED4758" w:rsidRDefault="00EE2CC8" w:rsidP="00BB34F9">
      <w:pPr>
        <w:jc w:val="center"/>
        <w:rPr>
          <w:lang w:val="en-GB"/>
        </w:rPr>
      </w:pPr>
      <w:r w:rsidRPr="00ED4758">
        <w:rPr>
          <w:noProof/>
          <w:lang w:val="en-GB" w:eastAsia="en-US"/>
        </w:rPr>
        <w:lastRenderedPageBreak/>
        <w:drawing>
          <wp:inline distT="0" distB="0" distL="0" distR="0" wp14:anchorId="1C49C36D" wp14:editId="6646ECA2">
            <wp:extent cx="5154093" cy="2735412"/>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tretch>
                      <a:fillRect/>
                    </a:stretch>
                  </pic:blipFill>
                  <pic:spPr bwMode="auto">
                    <a:xfrm>
                      <a:off x="0" y="0"/>
                      <a:ext cx="5154093" cy="2735412"/>
                    </a:xfrm>
                    <a:prstGeom prst="rect">
                      <a:avLst/>
                    </a:prstGeom>
                    <a:noFill/>
                  </pic:spPr>
                </pic:pic>
              </a:graphicData>
            </a:graphic>
          </wp:inline>
        </w:drawing>
      </w:r>
    </w:p>
    <w:p w14:paraId="68E2A70A" w14:textId="77777777" w:rsidR="00EE2CC8" w:rsidRPr="00ED4758" w:rsidRDefault="00EE2CC8" w:rsidP="00BB34F9">
      <w:pPr>
        <w:ind w:firstLine="567"/>
        <w:jc w:val="both"/>
        <w:rPr>
          <w:lang w:val="en-GB"/>
        </w:rPr>
      </w:pPr>
    </w:p>
    <w:p w14:paraId="5A2F0957" w14:textId="79EA7FD0" w:rsidR="00EE2CC8" w:rsidRPr="00ED4758" w:rsidRDefault="00146D6F" w:rsidP="00BB34F9">
      <w:pPr>
        <w:ind w:firstLine="567"/>
        <w:jc w:val="both"/>
        <w:rPr>
          <w:lang w:val="en-GB"/>
        </w:rPr>
      </w:pPr>
      <w:r w:rsidRPr="00ED4758">
        <w:rPr>
          <w:lang w:val="en-GB"/>
        </w:rPr>
        <w:t>During 2019 the share capital of the Bank remained the same and amounted to UAH 244,00</w:t>
      </w:r>
      <w:r w:rsidR="00FE7472">
        <w:rPr>
          <w:lang w:val="en-GB"/>
        </w:rPr>
        <w:t>0</w:t>
      </w:r>
      <w:r w:rsidRPr="00ED4758">
        <w:rPr>
          <w:lang w:val="en-GB"/>
        </w:rPr>
        <w:t xml:space="preserve"> </w:t>
      </w:r>
      <w:r w:rsidR="00FE7472">
        <w:rPr>
          <w:lang w:val="en-GB"/>
        </w:rPr>
        <w:t>thousand</w:t>
      </w:r>
      <w:r w:rsidRPr="00ED4758">
        <w:rPr>
          <w:lang w:val="en-GB"/>
        </w:rPr>
        <w:t>. At t</w:t>
      </w:r>
      <w:r w:rsidR="00465FDB" w:rsidRPr="00ED4758">
        <w:rPr>
          <w:lang w:val="en-GB"/>
        </w:rPr>
        <w:t>he same time according to the statistical reports</w:t>
      </w:r>
      <w:r w:rsidR="00796BD9">
        <w:rPr>
          <w:lang w:val="en-GB"/>
        </w:rPr>
        <w:t>,</w:t>
      </w:r>
      <w:r w:rsidR="00465FDB" w:rsidRPr="00ED4758">
        <w:rPr>
          <w:lang w:val="en-GB"/>
        </w:rPr>
        <w:t xml:space="preserve"> the regulatory capital </w:t>
      </w:r>
      <w:r w:rsidR="00796BD9">
        <w:rPr>
          <w:lang w:val="en-GB"/>
        </w:rPr>
        <w:t>o</w:t>
      </w:r>
      <w:r w:rsidR="00465FDB" w:rsidRPr="00ED4758">
        <w:rPr>
          <w:lang w:val="en-GB"/>
        </w:rPr>
        <w:t xml:space="preserve">f the Bank made UAH 211,420 thousand as of 02.01.2020 against UAH </w:t>
      </w:r>
      <w:r w:rsidR="00EE2CC8" w:rsidRPr="00ED4758">
        <w:rPr>
          <w:lang w:val="en-GB"/>
        </w:rPr>
        <w:t>228</w:t>
      </w:r>
      <w:r w:rsidR="00465FDB" w:rsidRPr="00ED4758">
        <w:rPr>
          <w:lang w:val="en-GB"/>
        </w:rPr>
        <w:t>,</w:t>
      </w:r>
      <w:r w:rsidR="00EE2CC8" w:rsidRPr="00ED4758">
        <w:rPr>
          <w:lang w:val="en-GB"/>
        </w:rPr>
        <w:t xml:space="preserve">905 </w:t>
      </w:r>
      <w:r w:rsidR="00465FDB" w:rsidRPr="00ED4758">
        <w:rPr>
          <w:lang w:val="en-GB"/>
        </w:rPr>
        <w:t xml:space="preserve">thousand as of </w:t>
      </w:r>
      <w:r w:rsidR="00796BD9">
        <w:rPr>
          <w:lang w:val="en-GB"/>
        </w:rPr>
        <w:t xml:space="preserve">the </w:t>
      </w:r>
      <w:r w:rsidR="00465FDB" w:rsidRPr="00ED4758">
        <w:rPr>
          <w:lang w:val="en-GB"/>
        </w:rPr>
        <w:t xml:space="preserve">previous annual reporting date, which is UAH 17,485 thousand or 8% less. The Development </w:t>
      </w:r>
      <w:r w:rsidR="00FE7472" w:rsidRPr="00ED4758">
        <w:rPr>
          <w:lang w:val="en-GB"/>
        </w:rPr>
        <w:t>Strategy</w:t>
      </w:r>
      <w:r w:rsidR="00465FDB" w:rsidRPr="00ED4758">
        <w:rPr>
          <w:lang w:val="en-GB"/>
        </w:rPr>
        <w:t xml:space="preserve"> of the Bank</w:t>
      </w:r>
      <w:r w:rsidR="00796BD9">
        <w:rPr>
          <w:lang w:val="en-GB"/>
        </w:rPr>
        <w:t xml:space="preserve"> </w:t>
      </w:r>
      <w:r w:rsidR="00465FDB" w:rsidRPr="00ED4758">
        <w:rPr>
          <w:lang w:val="en-GB"/>
        </w:rPr>
        <w:t xml:space="preserve">provides for increase of the share capital by UAH 56,000 thousand in December 2020. </w:t>
      </w:r>
    </w:p>
    <w:p w14:paraId="59863F39" w14:textId="77777777" w:rsidR="00EE2CC8" w:rsidRPr="00ED4758" w:rsidRDefault="00EE2CC8" w:rsidP="00BB34F9">
      <w:pPr>
        <w:rPr>
          <w:b/>
          <w:highlight w:val="yellow"/>
          <w:lang w:val="en-GB"/>
        </w:rPr>
      </w:pPr>
    </w:p>
    <w:p w14:paraId="0E3447C6" w14:textId="416523DD" w:rsidR="00B45100" w:rsidRPr="00ED4758" w:rsidRDefault="00465FDB" w:rsidP="00BB34F9">
      <w:pPr>
        <w:rPr>
          <w:b/>
          <w:lang w:val="en-GB"/>
        </w:rPr>
      </w:pPr>
      <w:r w:rsidRPr="00ED4758">
        <w:rPr>
          <w:b/>
          <w:lang w:val="en-GB"/>
        </w:rPr>
        <w:t>Key performance indicators</w:t>
      </w:r>
    </w:p>
    <w:p w14:paraId="06B23726" w14:textId="77777777" w:rsidR="00D473D3" w:rsidRPr="00ED4758" w:rsidRDefault="00D473D3" w:rsidP="00BB34F9">
      <w:pPr>
        <w:ind w:firstLine="567"/>
        <w:jc w:val="both"/>
        <w:rPr>
          <w:lang w:val="en-GB"/>
        </w:rPr>
      </w:pPr>
    </w:p>
    <w:p w14:paraId="04A4F6E8" w14:textId="63F89B0E" w:rsidR="00302426" w:rsidRPr="00ED4758" w:rsidRDefault="001D47E7" w:rsidP="00302426">
      <w:pPr>
        <w:ind w:firstLine="567"/>
        <w:jc w:val="both"/>
        <w:rPr>
          <w:lang w:val="en-GB"/>
        </w:rPr>
      </w:pPr>
      <w:r w:rsidRPr="00ED4758">
        <w:rPr>
          <w:lang w:val="en-GB"/>
        </w:rPr>
        <w:t>T</w:t>
      </w:r>
      <w:r w:rsidR="00302426" w:rsidRPr="00ED4758">
        <w:rPr>
          <w:lang w:val="en-GB"/>
        </w:rPr>
        <w:t xml:space="preserve">he question of the </w:t>
      </w:r>
      <w:r w:rsidR="00796BD9">
        <w:rPr>
          <w:lang w:val="en-GB"/>
        </w:rPr>
        <w:t>efficiency</w:t>
      </w:r>
      <w:r w:rsidR="00302426" w:rsidRPr="00ED4758">
        <w:rPr>
          <w:lang w:val="en-GB"/>
        </w:rPr>
        <w:t xml:space="preserve"> of the bank's activities is complex and </w:t>
      </w:r>
      <w:r w:rsidR="00796BD9">
        <w:rPr>
          <w:lang w:val="en-GB"/>
        </w:rPr>
        <w:t>comprehensive</w:t>
      </w:r>
      <w:r w:rsidR="00302426" w:rsidRPr="00ED4758">
        <w:rPr>
          <w:lang w:val="en-GB"/>
        </w:rPr>
        <w:t xml:space="preserve">, as it concerns all areas and sectors of banking, and is influenced by internal and external factors. Efficiency </w:t>
      </w:r>
      <w:r w:rsidRPr="00ED4758">
        <w:rPr>
          <w:lang w:val="en-GB"/>
        </w:rPr>
        <w:t>shows</w:t>
      </w:r>
      <w:r w:rsidR="00302426" w:rsidRPr="00ED4758">
        <w:rPr>
          <w:lang w:val="en-GB"/>
        </w:rPr>
        <w:t xml:space="preserve"> the nature of cause</w:t>
      </w:r>
      <w:r w:rsidRPr="00ED4758">
        <w:rPr>
          <w:lang w:val="en-GB"/>
        </w:rPr>
        <w:t>-</w:t>
      </w:r>
      <w:r w:rsidR="00302426" w:rsidRPr="00ED4758">
        <w:rPr>
          <w:lang w:val="en-GB"/>
        </w:rPr>
        <w:t xml:space="preserve">effect relationship of the bank's activity and shows not the result itself, but the price </w:t>
      </w:r>
      <w:r w:rsidRPr="00ED4758">
        <w:rPr>
          <w:lang w:val="en-GB"/>
        </w:rPr>
        <w:t xml:space="preserve">at which </w:t>
      </w:r>
      <w:r w:rsidR="00302426" w:rsidRPr="00ED4758">
        <w:rPr>
          <w:lang w:val="en-GB"/>
        </w:rPr>
        <w:t>it was achieved.</w:t>
      </w:r>
    </w:p>
    <w:p w14:paraId="47A0D42F" w14:textId="78402DFC" w:rsidR="00302426" w:rsidRPr="00ED4758" w:rsidRDefault="00302426" w:rsidP="00302426">
      <w:pPr>
        <w:ind w:firstLine="567"/>
        <w:jc w:val="both"/>
        <w:rPr>
          <w:lang w:val="en-GB"/>
        </w:rPr>
      </w:pPr>
      <w:r w:rsidRPr="00ED4758">
        <w:rPr>
          <w:lang w:val="en-GB"/>
        </w:rPr>
        <w:t xml:space="preserve">The determination and evaluation of the Bank's </w:t>
      </w:r>
      <w:r w:rsidR="00796BD9">
        <w:rPr>
          <w:lang w:val="en-GB"/>
        </w:rPr>
        <w:t>efficiency</w:t>
      </w:r>
      <w:r w:rsidRPr="00ED4758">
        <w:rPr>
          <w:lang w:val="en-GB"/>
        </w:rPr>
        <w:t xml:space="preserve"> is</w:t>
      </w:r>
      <w:r w:rsidR="001D47E7" w:rsidRPr="00ED4758">
        <w:rPr>
          <w:lang w:val="en-GB"/>
        </w:rPr>
        <w:t xml:space="preserve"> conducted</w:t>
      </w:r>
      <w:r w:rsidRPr="00ED4758">
        <w:rPr>
          <w:lang w:val="en-GB"/>
        </w:rPr>
        <w:t xml:space="preserve"> to ensure that </w:t>
      </w:r>
      <w:r w:rsidR="001D47E7" w:rsidRPr="00ED4758">
        <w:rPr>
          <w:lang w:val="en-GB"/>
        </w:rPr>
        <w:t xml:space="preserve">the </w:t>
      </w:r>
      <w:r w:rsidRPr="00ED4758">
        <w:rPr>
          <w:lang w:val="en-GB"/>
        </w:rPr>
        <w:t xml:space="preserve">management makes good management decisions in a changing market environment and to implement an optimal management strategy. </w:t>
      </w:r>
      <w:r w:rsidR="00796BD9">
        <w:rPr>
          <w:lang w:val="en-GB"/>
        </w:rPr>
        <w:t>Efficiency</w:t>
      </w:r>
      <w:r w:rsidRPr="00ED4758">
        <w:rPr>
          <w:lang w:val="en-GB"/>
        </w:rPr>
        <w:t xml:space="preserve"> </w:t>
      </w:r>
      <w:r w:rsidR="001D47E7" w:rsidRPr="00ED4758">
        <w:rPr>
          <w:lang w:val="en-GB"/>
        </w:rPr>
        <w:t>assessment</w:t>
      </w:r>
      <w:r w:rsidRPr="00ED4758">
        <w:rPr>
          <w:lang w:val="en-GB"/>
        </w:rPr>
        <w:t xml:space="preserve"> enables </w:t>
      </w:r>
      <w:r w:rsidR="00796BD9">
        <w:rPr>
          <w:lang w:val="en-GB"/>
        </w:rPr>
        <w:t xml:space="preserve">the </w:t>
      </w:r>
      <w:r w:rsidRPr="00ED4758">
        <w:rPr>
          <w:lang w:val="en-GB"/>
        </w:rPr>
        <w:t>management to identify how successful and eff</w:t>
      </w:r>
      <w:r w:rsidR="001D47E7" w:rsidRPr="00ED4758">
        <w:rPr>
          <w:lang w:val="en-GB"/>
        </w:rPr>
        <w:t>icient</w:t>
      </w:r>
      <w:r w:rsidRPr="00ED4758">
        <w:rPr>
          <w:lang w:val="en-GB"/>
        </w:rPr>
        <w:t xml:space="preserve"> the Bank is in accordance with the strategy adopted </w:t>
      </w:r>
      <w:r w:rsidR="001D47E7" w:rsidRPr="00ED4758">
        <w:rPr>
          <w:lang w:val="en-GB"/>
        </w:rPr>
        <w:t>as well as</w:t>
      </w:r>
      <w:r w:rsidRPr="00ED4758">
        <w:rPr>
          <w:lang w:val="en-GB"/>
        </w:rPr>
        <w:t xml:space="preserve"> to identify reserves for improving its performance.</w:t>
      </w:r>
    </w:p>
    <w:p w14:paraId="7DFA5377" w14:textId="6C8D6F30" w:rsidR="00D473D3" w:rsidRPr="00ED4758" w:rsidRDefault="00302426" w:rsidP="00302426">
      <w:pPr>
        <w:ind w:firstLine="567"/>
        <w:jc w:val="both"/>
        <w:rPr>
          <w:lang w:val="en-GB"/>
        </w:rPr>
      </w:pPr>
      <w:r w:rsidRPr="00ED4758">
        <w:rPr>
          <w:lang w:val="en-GB"/>
        </w:rPr>
        <w:t xml:space="preserve">Planned and actual key indicators used by the management </w:t>
      </w:r>
      <w:r w:rsidR="001D47E7" w:rsidRPr="00ED4758">
        <w:rPr>
          <w:lang w:val="en-GB"/>
        </w:rPr>
        <w:t xml:space="preserve">of the Bank </w:t>
      </w:r>
      <w:r w:rsidRPr="00ED4758">
        <w:rPr>
          <w:lang w:val="en-GB"/>
        </w:rPr>
        <w:t>to evaluate its operating results as of 01.01.2020</w:t>
      </w:r>
      <w:r w:rsidR="001D47E7" w:rsidRPr="00ED4758">
        <w:rPr>
          <w:lang w:val="en-GB"/>
        </w:rPr>
        <w:t xml:space="preserve"> are the following</w:t>
      </w:r>
      <w:r w:rsidRPr="00ED4758">
        <w:rPr>
          <w:lang w:val="en-GB"/>
        </w:rPr>
        <w:t>:</w:t>
      </w:r>
      <w:r w:rsidR="00D473D3" w:rsidRPr="00ED4758">
        <w:rPr>
          <w:lang w:val="en-GB"/>
        </w:rPr>
        <w:t xml:space="preserve"> </w:t>
      </w:r>
    </w:p>
    <w:p w14:paraId="6EAAAA34" w14:textId="77777777" w:rsidR="00D473D3" w:rsidRPr="00ED4758" w:rsidRDefault="00D473D3" w:rsidP="00BB34F9">
      <w:pPr>
        <w:ind w:firstLine="644"/>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4062"/>
        <w:gridCol w:w="2304"/>
        <w:gridCol w:w="2305"/>
      </w:tblGrid>
      <w:tr w:rsidR="00D473D3" w:rsidRPr="00ED4758" w14:paraId="5319A2A2" w14:textId="77777777" w:rsidTr="00DA5B81">
        <w:tc>
          <w:tcPr>
            <w:tcW w:w="674" w:type="dxa"/>
          </w:tcPr>
          <w:p w14:paraId="24506F46" w14:textId="1F6908FB" w:rsidR="00D473D3" w:rsidRPr="00ED4758" w:rsidRDefault="001D47E7" w:rsidP="00BB34F9">
            <w:pPr>
              <w:jc w:val="center"/>
              <w:rPr>
                <w:lang w:val="en-GB"/>
              </w:rPr>
            </w:pPr>
            <w:bookmarkStart w:id="1" w:name="_Hlk33713272"/>
            <w:r w:rsidRPr="00ED4758">
              <w:rPr>
                <w:lang w:val="en-GB"/>
              </w:rPr>
              <w:t>No.</w:t>
            </w:r>
          </w:p>
        </w:tc>
        <w:tc>
          <w:tcPr>
            <w:tcW w:w="4062" w:type="dxa"/>
          </w:tcPr>
          <w:p w14:paraId="3CC996F0" w14:textId="62FD9364" w:rsidR="00D473D3" w:rsidRPr="00ED4758" w:rsidRDefault="001D47E7" w:rsidP="00BB34F9">
            <w:pPr>
              <w:jc w:val="center"/>
              <w:rPr>
                <w:lang w:val="en-GB"/>
              </w:rPr>
            </w:pPr>
            <w:r w:rsidRPr="00ED4758">
              <w:rPr>
                <w:lang w:val="en-GB"/>
              </w:rPr>
              <w:t>Indicator name</w:t>
            </w:r>
          </w:p>
        </w:tc>
        <w:tc>
          <w:tcPr>
            <w:tcW w:w="2304" w:type="dxa"/>
          </w:tcPr>
          <w:p w14:paraId="1CB04C1B" w14:textId="0FEDA47B" w:rsidR="00D473D3" w:rsidRPr="00ED4758" w:rsidRDefault="001D47E7" w:rsidP="00BB34F9">
            <w:pPr>
              <w:jc w:val="center"/>
              <w:rPr>
                <w:lang w:val="en-GB"/>
              </w:rPr>
            </w:pPr>
            <w:r w:rsidRPr="00ED4758">
              <w:rPr>
                <w:lang w:val="en-GB"/>
              </w:rPr>
              <w:t>Plan</w:t>
            </w:r>
          </w:p>
        </w:tc>
        <w:tc>
          <w:tcPr>
            <w:tcW w:w="2305" w:type="dxa"/>
          </w:tcPr>
          <w:p w14:paraId="32647642" w14:textId="4BF78995" w:rsidR="00D473D3" w:rsidRPr="00ED4758" w:rsidRDefault="001D47E7" w:rsidP="00BB34F9">
            <w:pPr>
              <w:jc w:val="center"/>
              <w:rPr>
                <w:lang w:val="en-GB"/>
              </w:rPr>
            </w:pPr>
            <w:r w:rsidRPr="00ED4758">
              <w:rPr>
                <w:lang w:val="en-GB"/>
              </w:rPr>
              <w:t>Factual result</w:t>
            </w:r>
          </w:p>
        </w:tc>
      </w:tr>
      <w:tr w:rsidR="00D473D3" w:rsidRPr="00ED4758" w14:paraId="4FE679FA" w14:textId="77777777" w:rsidTr="00DA5B81">
        <w:tc>
          <w:tcPr>
            <w:tcW w:w="674" w:type="dxa"/>
          </w:tcPr>
          <w:p w14:paraId="198106D5" w14:textId="77777777" w:rsidR="00D473D3" w:rsidRPr="00ED4758" w:rsidRDefault="00D473D3" w:rsidP="00BB34F9">
            <w:pPr>
              <w:jc w:val="center"/>
              <w:rPr>
                <w:lang w:val="en-GB"/>
              </w:rPr>
            </w:pPr>
            <w:r w:rsidRPr="00ED4758">
              <w:rPr>
                <w:lang w:val="en-GB"/>
              </w:rPr>
              <w:t>1</w:t>
            </w:r>
          </w:p>
        </w:tc>
        <w:tc>
          <w:tcPr>
            <w:tcW w:w="4062" w:type="dxa"/>
          </w:tcPr>
          <w:p w14:paraId="05EFD507" w14:textId="5B467D16" w:rsidR="00D473D3" w:rsidRPr="00ED4758" w:rsidRDefault="001D47E7" w:rsidP="00BB34F9">
            <w:pPr>
              <w:jc w:val="both"/>
              <w:rPr>
                <w:lang w:val="en-GB"/>
              </w:rPr>
            </w:pPr>
            <w:r w:rsidRPr="00ED4758">
              <w:rPr>
                <w:lang w:val="en-GB"/>
              </w:rPr>
              <w:t>Total assets</w:t>
            </w:r>
          </w:p>
        </w:tc>
        <w:tc>
          <w:tcPr>
            <w:tcW w:w="2304" w:type="dxa"/>
          </w:tcPr>
          <w:p w14:paraId="5CCC1122" w14:textId="3915FB4B" w:rsidR="00D473D3" w:rsidRPr="00ED4758" w:rsidRDefault="00D473D3" w:rsidP="00BB34F9">
            <w:pPr>
              <w:jc w:val="right"/>
              <w:rPr>
                <w:lang w:val="en-GB"/>
              </w:rPr>
            </w:pPr>
            <w:r w:rsidRPr="00ED4758">
              <w:rPr>
                <w:lang w:val="en-GB"/>
              </w:rPr>
              <w:t>240</w:t>
            </w:r>
            <w:r w:rsidR="00E043EA" w:rsidRPr="00ED4758">
              <w:rPr>
                <w:lang w:val="en-GB"/>
              </w:rPr>
              <w:t>,</w:t>
            </w:r>
            <w:r w:rsidRPr="00ED4758">
              <w:rPr>
                <w:lang w:val="en-GB"/>
              </w:rPr>
              <w:t>789</w:t>
            </w:r>
          </w:p>
        </w:tc>
        <w:tc>
          <w:tcPr>
            <w:tcW w:w="2305" w:type="dxa"/>
          </w:tcPr>
          <w:p w14:paraId="1BBA29E8" w14:textId="29DF9423" w:rsidR="00D473D3" w:rsidRPr="00ED4758" w:rsidRDefault="00D473D3" w:rsidP="00BB34F9">
            <w:pPr>
              <w:jc w:val="right"/>
              <w:rPr>
                <w:lang w:val="en-GB"/>
              </w:rPr>
            </w:pPr>
            <w:r w:rsidRPr="00ED4758">
              <w:rPr>
                <w:lang w:val="en-GB"/>
              </w:rPr>
              <w:t>240</w:t>
            </w:r>
            <w:r w:rsidR="00E043EA" w:rsidRPr="00ED4758">
              <w:rPr>
                <w:lang w:val="en-GB"/>
              </w:rPr>
              <w:t>,</w:t>
            </w:r>
            <w:r w:rsidRPr="00ED4758">
              <w:rPr>
                <w:lang w:val="en-GB"/>
              </w:rPr>
              <w:t>468</w:t>
            </w:r>
          </w:p>
        </w:tc>
      </w:tr>
      <w:tr w:rsidR="00D473D3" w:rsidRPr="00ED4758" w14:paraId="1B643A32" w14:textId="77777777" w:rsidTr="00DA5B81">
        <w:tc>
          <w:tcPr>
            <w:tcW w:w="674" w:type="dxa"/>
          </w:tcPr>
          <w:p w14:paraId="57E25DB6" w14:textId="77777777" w:rsidR="00D473D3" w:rsidRPr="00ED4758" w:rsidRDefault="00D473D3" w:rsidP="00BB34F9">
            <w:pPr>
              <w:jc w:val="center"/>
              <w:rPr>
                <w:lang w:val="en-GB"/>
              </w:rPr>
            </w:pPr>
            <w:r w:rsidRPr="00ED4758">
              <w:rPr>
                <w:lang w:val="en-GB"/>
              </w:rPr>
              <w:t>2</w:t>
            </w:r>
          </w:p>
        </w:tc>
        <w:tc>
          <w:tcPr>
            <w:tcW w:w="4062" w:type="dxa"/>
          </w:tcPr>
          <w:p w14:paraId="2231EC8E" w14:textId="72FA04FB" w:rsidR="00D473D3" w:rsidRPr="00ED4758" w:rsidRDefault="001D47E7" w:rsidP="00BB34F9">
            <w:pPr>
              <w:jc w:val="both"/>
              <w:rPr>
                <w:lang w:val="en-GB"/>
              </w:rPr>
            </w:pPr>
            <w:r w:rsidRPr="00ED4758">
              <w:rPr>
                <w:lang w:val="en-GB"/>
              </w:rPr>
              <w:t>Total liabilities</w:t>
            </w:r>
          </w:p>
        </w:tc>
        <w:tc>
          <w:tcPr>
            <w:tcW w:w="2304" w:type="dxa"/>
          </w:tcPr>
          <w:p w14:paraId="704CCA77" w14:textId="55B7C397" w:rsidR="00D473D3" w:rsidRPr="00ED4758" w:rsidRDefault="00D473D3" w:rsidP="00BB34F9">
            <w:pPr>
              <w:jc w:val="right"/>
              <w:rPr>
                <w:lang w:val="en-GB"/>
              </w:rPr>
            </w:pPr>
            <w:r w:rsidRPr="00ED4758">
              <w:rPr>
                <w:lang w:val="en-GB"/>
              </w:rPr>
              <w:t>53</w:t>
            </w:r>
            <w:r w:rsidR="00E043EA" w:rsidRPr="00ED4758">
              <w:rPr>
                <w:lang w:val="en-GB"/>
              </w:rPr>
              <w:t>,</w:t>
            </w:r>
            <w:r w:rsidRPr="00ED4758">
              <w:rPr>
                <w:lang w:val="en-GB"/>
              </w:rPr>
              <w:t>752</w:t>
            </w:r>
          </w:p>
        </w:tc>
        <w:tc>
          <w:tcPr>
            <w:tcW w:w="2305" w:type="dxa"/>
          </w:tcPr>
          <w:p w14:paraId="4D0030FD" w14:textId="7A0BE82C" w:rsidR="00D473D3" w:rsidRPr="00ED4758" w:rsidRDefault="00CC5821" w:rsidP="00BB34F9">
            <w:pPr>
              <w:jc w:val="right"/>
              <w:rPr>
                <w:lang w:val="en-GB"/>
              </w:rPr>
            </w:pPr>
            <w:r w:rsidRPr="00ED4758">
              <w:rPr>
                <w:lang w:val="en-GB"/>
              </w:rPr>
              <w:t>46</w:t>
            </w:r>
            <w:r w:rsidR="00E043EA" w:rsidRPr="00ED4758">
              <w:rPr>
                <w:lang w:val="en-GB"/>
              </w:rPr>
              <w:t>,</w:t>
            </w:r>
            <w:r w:rsidRPr="00ED4758">
              <w:rPr>
                <w:lang w:val="en-GB"/>
              </w:rPr>
              <w:t>812</w:t>
            </w:r>
          </w:p>
        </w:tc>
      </w:tr>
      <w:tr w:rsidR="00D473D3" w:rsidRPr="00ED4758" w14:paraId="7C41C199" w14:textId="77777777" w:rsidTr="00DA5B81">
        <w:tc>
          <w:tcPr>
            <w:tcW w:w="674" w:type="dxa"/>
          </w:tcPr>
          <w:p w14:paraId="6F19534C" w14:textId="77777777" w:rsidR="00D473D3" w:rsidRPr="00ED4758" w:rsidRDefault="00D473D3" w:rsidP="00BB34F9">
            <w:pPr>
              <w:jc w:val="center"/>
              <w:rPr>
                <w:lang w:val="en-GB"/>
              </w:rPr>
            </w:pPr>
            <w:r w:rsidRPr="00ED4758">
              <w:rPr>
                <w:lang w:val="en-GB"/>
              </w:rPr>
              <w:t>3</w:t>
            </w:r>
          </w:p>
        </w:tc>
        <w:tc>
          <w:tcPr>
            <w:tcW w:w="4062" w:type="dxa"/>
          </w:tcPr>
          <w:p w14:paraId="399D8139" w14:textId="0D6371AB" w:rsidR="00D473D3" w:rsidRPr="00ED4758" w:rsidRDefault="001D47E7" w:rsidP="00BB34F9">
            <w:pPr>
              <w:jc w:val="both"/>
              <w:rPr>
                <w:lang w:val="en-GB"/>
              </w:rPr>
            </w:pPr>
            <w:r w:rsidRPr="00ED4758">
              <w:rPr>
                <w:lang w:val="en-GB"/>
              </w:rPr>
              <w:t>Total income</w:t>
            </w:r>
          </w:p>
        </w:tc>
        <w:tc>
          <w:tcPr>
            <w:tcW w:w="2304" w:type="dxa"/>
          </w:tcPr>
          <w:p w14:paraId="6A732FDC" w14:textId="2F99D485" w:rsidR="00D473D3" w:rsidRPr="00ED4758" w:rsidRDefault="00D473D3" w:rsidP="00BB34F9">
            <w:pPr>
              <w:jc w:val="right"/>
              <w:rPr>
                <w:lang w:val="en-GB"/>
              </w:rPr>
            </w:pPr>
            <w:r w:rsidRPr="00ED4758">
              <w:rPr>
                <w:lang w:val="en-GB"/>
              </w:rPr>
              <w:t>28</w:t>
            </w:r>
            <w:r w:rsidR="00E043EA" w:rsidRPr="00ED4758">
              <w:rPr>
                <w:lang w:val="en-GB"/>
              </w:rPr>
              <w:t>,</w:t>
            </w:r>
            <w:r w:rsidRPr="00ED4758">
              <w:rPr>
                <w:lang w:val="en-GB"/>
              </w:rPr>
              <w:t>607</w:t>
            </w:r>
          </w:p>
        </w:tc>
        <w:tc>
          <w:tcPr>
            <w:tcW w:w="2305" w:type="dxa"/>
          </w:tcPr>
          <w:p w14:paraId="6000080D" w14:textId="0F57EF3E" w:rsidR="00D473D3" w:rsidRPr="00ED4758" w:rsidRDefault="00D473D3" w:rsidP="00BB34F9">
            <w:pPr>
              <w:jc w:val="right"/>
              <w:rPr>
                <w:lang w:val="en-GB"/>
              </w:rPr>
            </w:pPr>
            <w:r w:rsidRPr="00ED4758">
              <w:rPr>
                <w:lang w:val="en-GB"/>
              </w:rPr>
              <w:t>28</w:t>
            </w:r>
            <w:r w:rsidR="00E043EA" w:rsidRPr="00ED4758">
              <w:rPr>
                <w:lang w:val="en-GB"/>
              </w:rPr>
              <w:t>,</w:t>
            </w:r>
            <w:r w:rsidRPr="00ED4758">
              <w:rPr>
                <w:lang w:val="en-GB"/>
              </w:rPr>
              <w:t>7</w:t>
            </w:r>
            <w:r w:rsidR="00683C50" w:rsidRPr="00ED4758">
              <w:rPr>
                <w:lang w:val="en-GB"/>
              </w:rPr>
              <w:t xml:space="preserve">79 </w:t>
            </w:r>
          </w:p>
        </w:tc>
      </w:tr>
      <w:tr w:rsidR="00D473D3" w:rsidRPr="00ED4758" w14:paraId="299DD056" w14:textId="77777777" w:rsidTr="00DA5B81">
        <w:tc>
          <w:tcPr>
            <w:tcW w:w="674" w:type="dxa"/>
          </w:tcPr>
          <w:p w14:paraId="01ACF37C" w14:textId="77777777" w:rsidR="00D473D3" w:rsidRPr="00ED4758" w:rsidRDefault="00D473D3" w:rsidP="00BB34F9">
            <w:pPr>
              <w:jc w:val="center"/>
              <w:rPr>
                <w:lang w:val="en-GB"/>
              </w:rPr>
            </w:pPr>
            <w:r w:rsidRPr="00ED4758">
              <w:rPr>
                <w:lang w:val="en-GB"/>
              </w:rPr>
              <w:t>4</w:t>
            </w:r>
          </w:p>
        </w:tc>
        <w:tc>
          <w:tcPr>
            <w:tcW w:w="4062" w:type="dxa"/>
          </w:tcPr>
          <w:p w14:paraId="63059AE9" w14:textId="47AD70F6" w:rsidR="00D473D3" w:rsidRPr="00ED4758" w:rsidRDefault="001D47E7" w:rsidP="00BB34F9">
            <w:pPr>
              <w:jc w:val="both"/>
              <w:rPr>
                <w:lang w:val="en-GB"/>
              </w:rPr>
            </w:pPr>
            <w:r w:rsidRPr="00ED4758">
              <w:rPr>
                <w:lang w:val="en-GB"/>
              </w:rPr>
              <w:t>Total expenses</w:t>
            </w:r>
            <w:r w:rsidR="00D473D3" w:rsidRPr="00ED4758">
              <w:rPr>
                <w:lang w:val="en-GB"/>
              </w:rPr>
              <w:t xml:space="preserve">, </w:t>
            </w:r>
            <w:r w:rsidRPr="00ED4758">
              <w:rPr>
                <w:lang w:val="en-GB"/>
              </w:rPr>
              <w:t>including</w:t>
            </w:r>
            <w:r w:rsidR="00D473D3" w:rsidRPr="00ED4758">
              <w:rPr>
                <w:lang w:val="en-GB"/>
              </w:rPr>
              <w:t>:</w:t>
            </w:r>
          </w:p>
        </w:tc>
        <w:tc>
          <w:tcPr>
            <w:tcW w:w="2304" w:type="dxa"/>
          </w:tcPr>
          <w:p w14:paraId="6914C5B2" w14:textId="6EC0A5AE" w:rsidR="00D473D3" w:rsidRPr="00ED4758" w:rsidRDefault="00D473D3" w:rsidP="00BB34F9">
            <w:pPr>
              <w:jc w:val="right"/>
              <w:rPr>
                <w:lang w:val="en-GB"/>
              </w:rPr>
            </w:pPr>
            <w:r w:rsidRPr="00ED4758">
              <w:rPr>
                <w:lang w:val="en-GB"/>
              </w:rPr>
              <w:t>(32</w:t>
            </w:r>
            <w:r w:rsidR="00E043EA" w:rsidRPr="00ED4758">
              <w:rPr>
                <w:lang w:val="en-GB"/>
              </w:rPr>
              <w:t>,</w:t>
            </w:r>
            <w:r w:rsidRPr="00ED4758">
              <w:rPr>
                <w:lang w:val="en-GB"/>
              </w:rPr>
              <w:t>394)</w:t>
            </w:r>
          </w:p>
        </w:tc>
        <w:tc>
          <w:tcPr>
            <w:tcW w:w="2305" w:type="dxa"/>
          </w:tcPr>
          <w:p w14:paraId="5CF12178" w14:textId="51311FAC" w:rsidR="00D473D3" w:rsidRPr="00ED4758" w:rsidRDefault="00D473D3" w:rsidP="00BB34F9">
            <w:pPr>
              <w:jc w:val="right"/>
              <w:rPr>
                <w:lang w:val="en-GB"/>
              </w:rPr>
            </w:pPr>
            <w:r w:rsidRPr="00ED4758">
              <w:rPr>
                <w:lang w:val="en-GB"/>
              </w:rPr>
              <w:t>(33</w:t>
            </w:r>
            <w:r w:rsidR="00E043EA" w:rsidRPr="00ED4758">
              <w:rPr>
                <w:lang w:val="en-GB"/>
              </w:rPr>
              <w:t>,</w:t>
            </w:r>
            <w:r w:rsidRPr="00ED4758">
              <w:rPr>
                <w:lang w:val="en-GB"/>
              </w:rPr>
              <w:t>1</w:t>
            </w:r>
            <w:r w:rsidR="00683C50" w:rsidRPr="00ED4758">
              <w:rPr>
                <w:lang w:val="en-GB"/>
              </w:rPr>
              <w:t>88</w:t>
            </w:r>
            <w:r w:rsidRPr="00ED4758">
              <w:rPr>
                <w:lang w:val="en-GB"/>
              </w:rPr>
              <w:t>)</w:t>
            </w:r>
          </w:p>
        </w:tc>
      </w:tr>
      <w:tr w:rsidR="00D473D3" w:rsidRPr="00ED4758" w14:paraId="1643F864" w14:textId="77777777" w:rsidTr="00DA5B81">
        <w:tc>
          <w:tcPr>
            <w:tcW w:w="674" w:type="dxa"/>
          </w:tcPr>
          <w:p w14:paraId="264E419E" w14:textId="77777777" w:rsidR="00D473D3" w:rsidRPr="00ED4758" w:rsidRDefault="00D473D3" w:rsidP="00BB34F9">
            <w:pPr>
              <w:jc w:val="center"/>
              <w:rPr>
                <w:i/>
                <w:iCs/>
                <w:lang w:val="en-GB"/>
              </w:rPr>
            </w:pPr>
            <w:r w:rsidRPr="00ED4758">
              <w:rPr>
                <w:i/>
                <w:iCs/>
                <w:lang w:val="en-GB"/>
              </w:rPr>
              <w:t>4.1.</w:t>
            </w:r>
          </w:p>
        </w:tc>
        <w:tc>
          <w:tcPr>
            <w:tcW w:w="4062" w:type="dxa"/>
          </w:tcPr>
          <w:p w14:paraId="23382417" w14:textId="2FA3E20E" w:rsidR="00D473D3" w:rsidRPr="00ED4758" w:rsidRDefault="001D47E7" w:rsidP="00BB34F9">
            <w:pPr>
              <w:jc w:val="both"/>
              <w:rPr>
                <w:i/>
                <w:iCs/>
                <w:lang w:val="en-GB"/>
              </w:rPr>
            </w:pPr>
            <w:r w:rsidRPr="00ED4758">
              <w:rPr>
                <w:i/>
                <w:iCs/>
                <w:lang w:val="en-GB"/>
              </w:rPr>
              <w:t>Administrative expenses</w:t>
            </w:r>
            <w:r w:rsidR="00D55246" w:rsidRPr="00ED4758">
              <w:rPr>
                <w:i/>
                <w:iCs/>
                <w:lang w:val="en-GB"/>
              </w:rPr>
              <w:t xml:space="preserve">, </w:t>
            </w:r>
            <w:r w:rsidRPr="00ED4758">
              <w:rPr>
                <w:i/>
                <w:iCs/>
                <w:lang w:val="en-GB"/>
              </w:rPr>
              <w:t>of which</w:t>
            </w:r>
            <w:r w:rsidR="00D55246" w:rsidRPr="00ED4758">
              <w:rPr>
                <w:i/>
                <w:iCs/>
                <w:lang w:val="en-GB"/>
              </w:rPr>
              <w:t>:</w:t>
            </w:r>
          </w:p>
        </w:tc>
        <w:tc>
          <w:tcPr>
            <w:tcW w:w="2304" w:type="dxa"/>
          </w:tcPr>
          <w:p w14:paraId="3BCD4A17" w14:textId="0A50C071" w:rsidR="00D473D3" w:rsidRPr="00ED4758" w:rsidRDefault="00D473D3" w:rsidP="00BB34F9">
            <w:pPr>
              <w:jc w:val="right"/>
              <w:rPr>
                <w:i/>
                <w:iCs/>
                <w:lang w:val="en-GB"/>
              </w:rPr>
            </w:pPr>
            <w:r w:rsidRPr="00ED4758">
              <w:rPr>
                <w:i/>
                <w:iCs/>
                <w:lang w:val="en-GB"/>
              </w:rPr>
              <w:t>(25</w:t>
            </w:r>
            <w:r w:rsidR="00E043EA" w:rsidRPr="00ED4758">
              <w:rPr>
                <w:i/>
                <w:iCs/>
                <w:lang w:val="en-GB"/>
              </w:rPr>
              <w:t>,</w:t>
            </w:r>
            <w:r w:rsidRPr="00ED4758">
              <w:rPr>
                <w:i/>
                <w:iCs/>
                <w:lang w:val="en-GB"/>
              </w:rPr>
              <w:t>474)</w:t>
            </w:r>
          </w:p>
        </w:tc>
        <w:tc>
          <w:tcPr>
            <w:tcW w:w="2305" w:type="dxa"/>
          </w:tcPr>
          <w:p w14:paraId="4DA035FD" w14:textId="36CA41C7" w:rsidR="00D473D3" w:rsidRPr="00ED4758" w:rsidRDefault="00D473D3" w:rsidP="00BB34F9">
            <w:pPr>
              <w:jc w:val="right"/>
              <w:rPr>
                <w:i/>
                <w:iCs/>
                <w:lang w:val="en-GB"/>
              </w:rPr>
            </w:pPr>
            <w:r w:rsidRPr="00ED4758">
              <w:rPr>
                <w:i/>
                <w:iCs/>
                <w:lang w:val="en-GB"/>
              </w:rPr>
              <w:t>(</w:t>
            </w:r>
            <w:r w:rsidR="00D55246" w:rsidRPr="00ED4758">
              <w:rPr>
                <w:i/>
                <w:iCs/>
                <w:lang w:val="en-GB"/>
              </w:rPr>
              <w:t>26</w:t>
            </w:r>
            <w:r w:rsidR="00E043EA" w:rsidRPr="00ED4758">
              <w:rPr>
                <w:i/>
                <w:iCs/>
                <w:lang w:val="en-GB"/>
              </w:rPr>
              <w:t>,</w:t>
            </w:r>
            <w:r w:rsidR="00D55246" w:rsidRPr="00ED4758">
              <w:rPr>
                <w:i/>
                <w:iCs/>
                <w:lang w:val="en-GB"/>
              </w:rPr>
              <w:t>788</w:t>
            </w:r>
            <w:r w:rsidRPr="00ED4758">
              <w:rPr>
                <w:i/>
                <w:iCs/>
                <w:lang w:val="en-GB"/>
              </w:rPr>
              <w:t>)</w:t>
            </w:r>
          </w:p>
        </w:tc>
      </w:tr>
      <w:tr w:rsidR="00D473D3" w:rsidRPr="00ED4758" w14:paraId="3E683B31" w14:textId="77777777" w:rsidTr="00DA5B81">
        <w:tc>
          <w:tcPr>
            <w:tcW w:w="674" w:type="dxa"/>
          </w:tcPr>
          <w:p w14:paraId="489CC0C3" w14:textId="2256890E" w:rsidR="00D473D3" w:rsidRPr="00ED4758" w:rsidRDefault="00D473D3" w:rsidP="00BB34F9">
            <w:pPr>
              <w:jc w:val="center"/>
              <w:rPr>
                <w:i/>
                <w:iCs/>
                <w:lang w:val="en-GB"/>
              </w:rPr>
            </w:pPr>
            <w:r w:rsidRPr="00ED4758">
              <w:rPr>
                <w:i/>
                <w:iCs/>
                <w:lang w:val="en-GB"/>
              </w:rPr>
              <w:t>4.</w:t>
            </w:r>
            <w:r w:rsidR="00D55246" w:rsidRPr="00ED4758">
              <w:rPr>
                <w:i/>
                <w:iCs/>
                <w:lang w:val="en-GB"/>
              </w:rPr>
              <w:t>1.1</w:t>
            </w:r>
            <w:r w:rsidRPr="00ED4758">
              <w:rPr>
                <w:i/>
                <w:iCs/>
                <w:lang w:val="en-GB"/>
              </w:rPr>
              <w:t>.</w:t>
            </w:r>
          </w:p>
        </w:tc>
        <w:tc>
          <w:tcPr>
            <w:tcW w:w="4062" w:type="dxa"/>
          </w:tcPr>
          <w:p w14:paraId="409BC7AA" w14:textId="14E769DD" w:rsidR="00D473D3" w:rsidRPr="00ED4758" w:rsidRDefault="001D47E7" w:rsidP="00BB34F9">
            <w:pPr>
              <w:jc w:val="both"/>
              <w:rPr>
                <w:i/>
                <w:iCs/>
                <w:lang w:val="en-GB"/>
              </w:rPr>
            </w:pPr>
            <w:r w:rsidRPr="00ED4758">
              <w:rPr>
                <w:i/>
                <w:iCs/>
                <w:lang w:val="en-GB"/>
              </w:rPr>
              <w:t xml:space="preserve">Expenses </w:t>
            </w:r>
            <w:r w:rsidR="00796BD9">
              <w:rPr>
                <w:i/>
                <w:iCs/>
                <w:lang w:val="en-GB"/>
              </w:rPr>
              <w:t>on</w:t>
            </w:r>
            <w:r w:rsidRPr="00ED4758">
              <w:rPr>
                <w:i/>
                <w:iCs/>
                <w:lang w:val="en-GB"/>
              </w:rPr>
              <w:t xml:space="preserve"> employee</w:t>
            </w:r>
            <w:r w:rsidR="00796BD9">
              <w:rPr>
                <w:i/>
                <w:iCs/>
                <w:lang w:val="en-GB"/>
              </w:rPr>
              <w:t xml:space="preserve"> benefits</w:t>
            </w:r>
          </w:p>
        </w:tc>
        <w:tc>
          <w:tcPr>
            <w:tcW w:w="2304" w:type="dxa"/>
          </w:tcPr>
          <w:p w14:paraId="3347A1E5" w14:textId="5079B956" w:rsidR="00D473D3" w:rsidRPr="00ED4758" w:rsidRDefault="00D473D3" w:rsidP="00BB34F9">
            <w:pPr>
              <w:jc w:val="right"/>
              <w:rPr>
                <w:i/>
                <w:iCs/>
                <w:lang w:val="en-GB"/>
              </w:rPr>
            </w:pPr>
            <w:r w:rsidRPr="00ED4758">
              <w:rPr>
                <w:i/>
                <w:iCs/>
                <w:lang w:val="en-GB"/>
              </w:rPr>
              <w:t>(19</w:t>
            </w:r>
            <w:r w:rsidR="00E043EA" w:rsidRPr="00ED4758">
              <w:rPr>
                <w:i/>
                <w:iCs/>
                <w:lang w:val="en-GB"/>
              </w:rPr>
              <w:t>,</w:t>
            </w:r>
            <w:r w:rsidRPr="00ED4758">
              <w:rPr>
                <w:i/>
                <w:iCs/>
                <w:lang w:val="en-GB"/>
              </w:rPr>
              <w:t>945)</w:t>
            </w:r>
          </w:p>
        </w:tc>
        <w:tc>
          <w:tcPr>
            <w:tcW w:w="2305" w:type="dxa"/>
          </w:tcPr>
          <w:p w14:paraId="5E1A9F90" w14:textId="74561C02" w:rsidR="00D473D3" w:rsidRPr="00ED4758" w:rsidRDefault="00D473D3" w:rsidP="00BB34F9">
            <w:pPr>
              <w:jc w:val="right"/>
              <w:rPr>
                <w:i/>
                <w:iCs/>
                <w:lang w:val="en-GB"/>
              </w:rPr>
            </w:pPr>
            <w:r w:rsidRPr="00ED4758">
              <w:rPr>
                <w:i/>
                <w:iCs/>
                <w:lang w:val="en-GB"/>
              </w:rPr>
              <w:t>(</w:t>
            </w:r>
            <w:r w:rsidR="00CC5821" w:rsidRPr="00ED4758">
              <w:rPr>
                <w:i/>
                <w:iCs/>
                <w:lang w:val="en-GB"/>
              </w:rPr>
              <w:t>19</w:t>
            </w:r>
            <w:r w:rsidR="00E043EA" w:rsidRPr="00ED4758">
              <w:rPr>
                <w:i/>
                <w:iCs/>
                <w:lang w:val="en-GB"/>
              </w:rPr>
              <w:t>,</w:t>
            </w:r>
            <w:r w:rsidR="00CC5821" w:rsidRPr="00ED4758">
              <w:rPr>
                <w:i/>
                <w:iCs/>
                <w:lang w:val="en-GB"/>
              </w:rPr>
              <w:t>537</w:t>
            </w:r>
            <w:r w:rsidRPr="00ED4758">
              <w:rPr>
                <w:i/>
                <w:iCs/>
                <w:lang w:val="en-GB"/>
              </w:rPr>
              <w:t>)</w:t>
            </w:r>
          </w:p>
        </w:tc>
      </w:tr>
      <w:tr w:rsidR="00D473D3" w:rsidRPr="00ED4758" w14:paraId="5CF31F92" w14:textId="77777777" w:rsidTr="00DA5B81">
        <w:tc>
          <w:tcPr>
            <w:tcW w:w="674" w:type="dxa"/>
          </w:tcPr>
          <w:p w14:paraId="3FB3A583" w14:textId="77777777" w:rsidR="00D473D3" w:rsidRPr="00ED4758" w:rsidRDefault="00D473D3" w:rsidP="00BB34F9">
            <w:pPr>
              <w:jc w:val="center"/>
              <w:rPr>
                <w:lang w:val="en-GB"/>
              </w:rPr>
            </w:pPr>
            <w:r w:rsidRPr="00ED4758">
              <w:rPr>
                <w:lang w:val="en-GB"/>
              </w:rPr>
              <w:t>5</w:t>
            </w:r>
          </w:p>
        </w:tc>
        <w:tc>
          <w:tcPr>
            <w:tcW w:w="4062" w:type="dxa"/>
          </w:tcPr>
          <w:p w14:paraId="69E15CD7" w14:textId="0FE5E04E" w:rsidR="00D473D3" w:rsidRPr="00ED4758" w:rsidRDefault="001D47E7" w:rsidP="00BB34F9">
            <w:pPr>
              <w:jc w:val="both"/>
              <w:rPr>
                <w:lang w:val="en-GB"/>
              </w:rPr>
            </w:pPr>
            <w:r w:rsidRPr="00ED4758">
              <w:rPr>
                <w:lang w:val="en-GB"/>
              </w:rPr>
              <w:t>Financial result</w:t>
            </w:r>
          </w:p>
        </w:tc>
        <w:tc>
          <w:tcPr>
            <w:tcW w:w="2304" w:type="dxa"/>
          </w:tcPr>
          <w:p w14:paraId="05B3A489" w14:textId="5C3F8309" w:rsidR="00D473D3" w:rsidRPr="00ED4758" w:rsidRDefault="00D473D3" w:rsidP="00BB34F9">
            <w:pPr>
              <w:jc w:val="right"/>
              <w:rPr>
                <w:lang w:val="en-GB"/>
              </w:rPr>
            </w:pPr>
            <w:r w:rsidRPr="00ED4758">
              <w:rPr>
                <w:lang w:val="en-GB"/>
              </w:rPr>
              <w:t>(3</w:t>
            </w:r>
            <w:r w:rsidR="00E043EA" w:rsidRPr="00ED4758">
              <w:rPr>
                <w:lang w:val="en-GB"/>
              </w:rPr>
              <w:t>,</w:t>
            </w:r>
            <w:r w:rsidRPr="00ED4758">
              <w:rPr>
                <w:lang w:val="en-GB"/>
              </w:rPr>
              <w:t>787)</w:t>
            </w:r>
          </w:p>
        </w:tc>
        <w:tc>
          <w:tcPr>
            <w:tcW w:w="2305" w:type="dxa"/>
          </w:tcPr>
          <w:p w14:paraId="57BBDBFB" w14:textId="256B88F2" w:rsidR="00D473D3" w:rsidRPr="00ED4758" w:rsidRDefault="00D473D3" w:rsidP="00BB34F9">
            <w:pPr>
              <w:jc w:val="right"/>
              <w:rPr>
                <w:lang w:val="en-GB"/>
              </w:rPr>
            </w:pPr>
            <w:r w:rsidRPr="00ED4758">
              <w:rPr>
                <w:lang w:val="en-GB"/>
              </w:rPr>
              <w:t>(4</w:t>
            </w:r>
            <w:r w:rsidR="00E043EA" w:rsidRPr="00ED4758">
              <w:rPr>
                <w:lang w:val="en-GB"/>
              </w:rPr>
              <w:t>,</w:t>
            </w:r>
            <w:r w:rsidRPr="00ED4758">
              <w:rPr>
                <w:lang w:val="en-GB"/>
              </w:rPr>
              <w:t>409)</w:t>
            </w:r>
          </w:p>
        </w:tc>
      </w:tr>
      <w:tr w:rsidR="00D473D3" w:rsidRPr="00ED4758" w14:paraId="4D9CE370" w14:textId="77777777" w:rsidTr="00DA5B81">
        <w:tc>
          <w:tcPr>
            <w:tcW w:w="674" w:type="dxa"/>
          </w:tcPr>
          <w:p w14:paraId="760F19C0" w14:textId="77777777" w:rsidR="00D473D3" w:rsidRPr="00ED4758" w:rsidRDefault="00D473D3" w:rsidP="00BB34F9">
            <w:pPr>
              <w:jc w:val="center"/>
              <w:rPr>
                <w:lang w:val="en-GB"/>
              </w:rPr>
            </w:pPr>
            <w:r w:rsidRPr="00ED4758">
              <w:rPr>
                <w:lang w:val="en-GB"/>
              </w:rPr>
              <w:t>6</w:t>
            </w:r>
          </w:p>
        </w:tc>
        <w:tc>
          <w:tcPr>
            <w:tcW w:w="4062" w:type="dxa"/>
          </w:tcPr>
          <w:p w14:paraId="3C5BC24D" w14:textId="3FBC122F" w:rsidR="00D473D3" w:rsidRPr="00ED4758" w:rsidRDefault="001D47E7" w:rsidP="00BB34F9">
            <w:pPr>
              <w:jc w:val="both"/>
              <w:rPr>
                <w:lang w:val="en-GB"/>
              </w:rPr>
            </w:pPr>
            <w:r w:rsidRPr="00ED4758">
              <w:rPr>
                <w:lang w:val="en-GB"/>
              </w:rPr>
              <w:t>Net interest income</w:t>
            </w:r>
          </w:p>
        </w:tc>
        <w:tc>
          <w:tcPr>
            <w:tcW w:w="2304" w:type="dxa"/>
          </w:tcPr>
          <w:p w14:paraId="2739DF03" w14:textId="1E45AD76" w:rsidR="00D473D3" w:rsidRPr="00ED4758" w:rsidRDefault="00D473D3" w:rsidP="00BB34F9">
            <w:pPr>
              <w:jc w:val="right"/>
              <w:rPr>
                <w:lang w:val="en-GB"/>
              </w:rPr>
            </w:pPr>
            <w:r w:rsidRPr="00ED4758">
              <w:rPr>
                <w:lang w:val="en-GB"/>
              </w:rPr>
              <w:t>23</w:t>
            </w:r>
            <w:r w:rsidR="00E043EA" w:rsidRPr="00ED4758">
              <w:rPr>
                <w:lang w:val="en-GB"/>
              </w:rPr>
              <w:t>,</w:t>
            </w:r>
            <w:r w:rsidRPr="00ED4758">
              <w:rPr>
                <w:lang w:val="en-GB"/>
              </w:rPr>
              <w:t>3019</w:t>
            </w:r>
          </w:p>
        </w:tc>
        <w:tc>
          <w:tcPr>
            <w:tcW w:w="2305" w:type="dxa"/>
          </w:tcPr>
          <w:p w14:paraId="722D442A" w14:textId="02CBF2CC" w:rsidR="00D473D3" w:rsidRPr="00ED4758" w:rsidRDefault="00D473D3" w:rsidP="00BB34F9">
            <w:pPr>
              <w:jc w:val="right"/>
              <w:rPr>
                <w:lang w:val="en-GB"/>
              </w:rPr>
            </w:pPr>
            <w:r w:rsidRPr="00ED4758">
              <w:rPr>
                <w:lang w:val="en-GB"/>
              </w:rPr>
              <w:t>23</w:t>
            </w:r>
            <w:r w:rsidR="00E043EA" w:rsidRPr="00ED4758">
              <w:rPr>
                <w:lang w:val="en-GB"/>
              </w:rPr>
              <w:t>,</w:t>
            </w:r>
            <w:r w:rsidR="00CC5821" w:rsidRPr="00ED4758">
              <w:rPr>
                <w:lang w:val="en-GB"/>
              </w:rPr>
              <w:t>504</w:t>
            </w:r>
          </w:p>
        </w:tc>
      </w:tr>
      <w:tr w:rsidR="00D473D3" w:rsidRPr="00ED4758" w14:paraId="5CC1157A" w14:textId="77777777" w:rsidTr="00DA5B81">
        <w:tc>
          <w:tcPr>
            <w:tcW w:w="674" w:type="dxa"/>
          </w:tcPr>
          <w:p w14:paraId="16CE13FC" w14:textId="77777777" w:rsidR="00D473D3" w:rsidRPr="00ED4758" w:rsidRDefault="00D473D3" w:rsidP="00BB34F9">
            <w:pPr>
              <w:jc w:val="center"/>
              <w:rPr>
                <w:lang w:val="en-GB"/>
              </w:rPr>
            </w:pPr>
            <w:r w:rsidRPr="00ED4758">
              <w:rPr>
                <w:lang w:val="en-GB"/>
              </w:rPr>
              <w:t>7</w:t>
            </w:r>
          </w:p>
        </w:tc>
        <w:tc>
          <w:tcPr>
            <w:tcW w:w="4062" w:type="dxa"/>
          </w:tcPr>
          <w:p w14:paraId="7AE16B48" w14:textId="10BD70EE" w:rsidR="00D473D3" w:rsidRPr="00ED4758" w:rsidRDefault="001D47E7" w:rsidP="00BB34F9">
            <w:pPr>
              <w:jc w:val="both"/>
              <w:rPr>
                <w:lang w:val="en-GB"/>
              </w:rPr>
            </w:pPr>
            <w:r w:rsidRPr="00ED4758">
              <w:rPr>
                <w:lang w:val="en-GB"/>
              </w:rPr>
              <w:t xml:space="preserve">Net interest margin </w:t>
            </w:r>
          </w:p>
        </w:tc>
        <w:tc>
          <w:tcPr>
            <w:tcW w:w="2304" w:type="dxa"/>
          </w:tcPr>
          <w:p w14:paraId="34DDA6F6" w14:textId="77777777" w:rsidR="00D473D3" w:rsidRPr="00ED4758" w:rsidRDefault="00D473D3" w:rsidP="00BB34F9">
            <w:pPr>
              <w:jc w:val="right"/>
              <w:rPr>
                <w:lang w:val="en-GB"/>
              </w:rPr>
            </w:pPr>
            <w:r w:rsidRPr="00ED4758">
              <w:rPr>
                <w:lang w:val="en-GB"/>
              </w:rPr>
              <w:t>9%</w:t>
            </w:r>
          </w:p>
        </w:tc>
        <w:tc>
          <w:tcPr>
            <w:tcW w:w="2305" w:type="dxa"/>
          </w:tcPr>
          <w:p w14:paraId="365B044F" w14:textId="39B8EA16" w:rsidR="00D473D3" w:rsidRPr="00ED4758" w:rsidRDefault="00D473D3" w:rsidP="00BB34F9">
            <w:pPr>
              <w:jc w:val="right"/>
              <w:rPr>
                <w:lang w:val="en-GB"/>
              </w:rPr>
            </w:pPr>
            <w:r w:rsidRPr="00ED4758">
              <w:rPr>
                <w:lang w:val="en-GB"/>
              </w:rPr>
              <w:t>13</w:t>
            </w:r>
            <w:r w:rsidR="00E043EA" w:rsidRPr="00ED4758">
              <w:rPr>
                <w:lang w:val="en-GB"/>
              </w:rPr>
              <w:t>.</w:t>
            </w:r>
            <w:r w:rsidR="00F5036B" w:rsidRPr="00ED4758">
              <w:rPr>
                <w:lang w:val="en-GB"/>
              </w:rPr>
              <w:t>83</w:t>
            </w:r>
            <w:r w:rsidRPr="00ED4758">
              <w:rPr>
                <w:lang w:val="en-GB"/>
              </w:rPr>
              <w:t>%</w:t>
            </w:r>
          </w:p>
        </w:tc>
      </w:tr>
      <w:tr w:rsidR="00D473D3" w:rsidRPr="00ED4758" w14:paraId="1A819892" w14:textId="77777777" w:rsidTr="00DA5B81">
        <w:tc>
          <w:tcPr>
            <w:tcW w:w="674" w:type="dxa"/>
          </w:tcPr>
          <w:p w14:paraId="7661CDCC" w14:textId="77777777" w:rsidR="00D473D3" w:rsidRPr="00ED4758" w:rsidRDefault="00D473D3" w:rsidP="00BB34F9">
            <w:pPr>
              <w:jc w:val="center"/>
              <w:rPr>
                <w:lang w:val="en-GB"/>
              </w:rPr>
            </w:pPr>
            <w:r w:rsidRPr="00ED4758">
              <w:rPr>
                <w:lang w:val="en-GB"/>
              </w:rPr>
              <w:lastRenderedPageBreak/>
              <w:t>8</w:t>
            </w:r>
          </w:p>
        </w:tc>
        <w:tc>
          <w:tcPr>
            <w:tcW w:w="4062" w:type="dxa"/>
          </w:tcPr>
          <w:p w14:paraId="2120FB34" w14:textId="06ADAEFE" w:rsidR="00D473D3" w:rsidRPr="00ED4758" w:rsidRDefault="001D47E7" w:rsidP="00BB34F9">
            <w:pPr>
              <w:jc w:val="both"/>
              <w:rPr>
                <w:lang w:val="en-GB"/>
              </w:rPr>
            </w:pPr>
            <w:r w:rsidRPr="00ED4758">
              <w:rPr>
                <w:lang w:val="en-GB"/>
              </w:rPr>
              <w:t xml:space="preserve">Return on assets </w:t>
            </w:r>
            <w:r w:rsidR="00D473D3" w:rsidRPr="00ED4758">
              <w:rPr>
                <w:lang w:val="en-GB"/>
              </w:rPr>
              <w:t>(ROA)</w:t>
            </w:r>
          </w:p>
        </w:tc>
        <w:tc>
          <w:tcPr>
            <w:tcW w:w="2304" w:type="dxa"/>
          </w:tcPr>
          <w:p w14:paraId="0951C98B" w14:textId="6AE49BB1" w:rsidR="00D473D3" w:rsidRPr="00ED4758" w:rsidRDefault="00D473D3" w:rsidP="00BB34F9">
            <w:pPr>
              <w:jc w:val="right"/>
              <w:rPr>
                <w:lang w:val="en-GB"/>
              </w:rPr>
            </w:pPr>
            <w:r w:rsidRPr="00ED4758">
              <w:rPr>
                <w:lang w:val="en-GB"/>
              </w:rPr>
              <w:t>-1</w:t>
            </w:r>
            <w:r w:rsidR="00E043EA" w:rsidRPr="00ED4758">
              <w:rPr>
                <w:lang w:val="en-GB"/>
              </w:rPr>
              <w:t>.</w:t>
            </w:r>
            <w:r w:rsidRPr="00ED4758">
              <w:rPr>
                <w:lang w:val="en-GB"/>
              </w:rPr>
              <w:t>6%</w:t>
            </w:r>
          </w:p>
        </w:tc>
        <w:tc>
          <w:tcPr>
            <w:tcW w:w="2305" w:type="dxa"/>
          </w:tcPr>
          <w:p w14:paraId="21AD9032" w14:textId="42ECE2E1" w:rsidR="00D473D3" w:rsidRPr="00ED4758" w:rsidRDefault="00D473D3" w:rsidP="00BB34F9">
            <w:pPr>
              <w:jc w:val="right"/>
              <w:rPr>
                <w:lang w:val="en-GB"/>
              </w:rPr>
            </w:pPr>
            <w:r w:rsidRPr="00ED4758">
              <w:rPr>
                <w:lang w:val="en-GB"/>
              </w:rPr>
              <w:t>-1</w:t>
            </w:r>
            <w:r w:rsidR="00E043EA" w:rsidRPr="00ED4758">
              <w:rPr>
                <w:lang w:val="en-GB"/>
              </w:rPr>
              <w:t>.</w:t>
            </w:r>
            <w:r w:rsidRPr="00ED4758">
              <w:rPr>
                <w:lang w:val="en-GB"/>
              </w:rPr>
              <w:t>8%</w:t>
            </w:r>
          </w:p>
        </w:tc>
      </w:tr>
      <w:tr w:rsidR="00D473D3" w:rsidRPr="00ED4758" w14:paraId="3C72ACF7" w14:textId="77777777" w:rsidTr="00DA5B81">
        <w:tc>
          <w:tcPr>
            <w:tcW w:w="674" w:type="dxa"/>
          </w:tcPr>
          <w:p w14:paraId="78C6DAAC" w14:textId="77777777" w:rsidR="00D473D3" w:rsidRPr="00ED4758" w:rsidRDefault="00D473D3" w:rsidP="00BB34F9">
            <w:pPr>
              <w:jc w:val="center"/>
              <w:rPr>
                <w:lang w:val="en-GB"/>
              </w:rPr>
            </w:pPr>
            <w:r w:rsidRPr="00ED4758">
              <w:rPr>
                <w:lang w:val="en-GB"/>
              </w:rPr>
              <w:t>9</w:t>
            </w:r>
          </w:p>
        </w:tc>
        <w:tc>
          <w:tcPr>
            <w:tcW w:w="4062" w:type="dxa"/>
          </w:tcPr>
          <w:p w14:paraId="7FBFFD2E" w14:textId="6C4F19C0" w:rsidR="00D473D3" w:rsidRPr="00ED4758" w:rsidRDefault="001D47E7" w:rsidP="00BB34F9">
            <w:pPr>
              <w:jc w:val="both"/>
              <w:rPr>
                <w:lang w:val="en-GB"/>
              </w:rPr>
            </w:pPr>
            <w:r w:rsidRPr="00ED4758">
              <w:rPr>
                <w:lang w:val="en-GB"/>
              </w:rPr>
              <w:t>Return on equity</w:t>
            </w:r>
            <w:r w:rsidR="00D473D3" w:rsidRPr="00ED4758">
              <w:rPr>
                <w:lang w:val="en-GB"/>
              </w:rPr>
              <w:t xml:space="preserve"> (ROЕ)</w:t>
            </w:r>
          </w:p>
        </w:tc>
        <w:tc>
          <w:tcPr>
            <w:tcW w:w="2304" w:type="dxa"/>
          </w:tcPr>
          <w:p w14:paraId="0360C1EE" w14:textId="2C4D0A11" w:rsidR="00D473D3" w:rsidRPr="00ED4758" w:rsidRDefault="00D473D3" w:rsidP="00BB34F9">
            <w:pPr>
              <w:jc w:val="right"/>
              <w:rPr>
                <w:lang w:val="en-GB"/>
              </w:rPr>
            </w:pPr>
            <w:r w:rsidRPr="00ED4758">
              <w:rPr>
                <w:lang w:val="en-GB"/>
              </w:rPr>
              <w:t>-1</w:t>
            </w:r>
            <w:r w:rsidR="00E043EA" w:rsidRPr="00ED4758">
              <w:rPr>
                <w:lang w:val="en-GB"/>
              </w:rPr>
              <w:t>.</w:t>
            </w:r>
            <w:r w:rsidRPr="00ED4758">
              <w:rPr>
                <w:lang w:val="en-GB"/>
              </w:rPr>
              <w:t>9%</w:t>
            </w:r>
          </w:p>
        </w:tc>
        <w:tc>
          <w:tcPr>
            <w:tcW w:w="2305" w:type="dxa"/>
          </w:tcPr>
          <w:p w14:paraId="31FC7073" w14:textId="6FA4F2DE" w:rsidR="00D473D3" w:rsidRPr="00ED4758" w:rsidRDefault="00D473D3" w:rsidP="00BB34F9">
            <w:pPr>
              <w:jc w:val="right"/>
              <w:rPr>
                <w:lang w:val="en-GB"/>
              </w:rPr>
            </w:pPr>
            <w:r w:rsidRPr="00ED4758">
              <w:rPr>
                <w:lang w:val="en-GB"/>
              </w:rPr>
              <w:t>-2</w:t>
            </w:r>
            <w:r w:rsidR="00E043EA" w:rsidRPr="00ED4758">
              <w:rPr>
                <w:lang w:val="en-GB"/>
              </w:rPr>
              <w:t>.</w:t>
            </w:r>
            <w:r w:rsidRPr="00ED4758">
              <w:rPr>
                <w:lang w:val="en-GB"/>
              </w:rPr>
              <w:t>2%</w:t>
            </w:r>
          </w:p>
        </w:tc>
      </w:tr>
      <w:tr w:rsidR="00D473D3" w:rsidRPr="00ED4758" w14:paraId="00B4F410" w14:textId="77777777" w:rsidTr="00DA5B81">
        <w:tc>
          <w:tcPr>
            <w:tcW w:w="674" w:type="dxa"/>
          </w:tcPr>
          <w:p w14:paraId="16625A9F" w14:textId="77777777" w:rsidR="00D473D3" w:rsidRPr="00ED4758" w:rsidRDefault="00D473D3" w:rsidP="00BB34F9">
            <w:pPr>
              <w:jc w:val="center"/>
              <w:rPr>
                <w:lang w:val="en-GB"/>
              </w:rPr>
            </w:pPr>
            <w:r w:rsidRPr="00ED4758">
              <w:rPr>
                <w:lang w:val="en-GB"/>
              </w:rPr>
              <w:t>10</w:t>
            </w:r>
          </w:p>
        </w:tc>
        <w:tc>
          <w:tcPr>
            <w:tcW w:w="4062" w:type="dxa"/>
          </w:tcPr>
          <w:p w14:paraId="563B45E6" w14:textId="139E18AA" w:rsidR="00D473D3" w:rsidRPr="00ED4758" w:rsidRDefault="001D47E7" w:rsidP="00BB34F9">
            <w:pPr>
              <w:jc w:val="both"/>
              <w:rPr>
                <w:lang w:val="en-GB"/>
              </w:rPr>
            </w:pPr>
            <w:r w:rsidRPr="00ED4758">
              <w:rPr>
                <w:lang w:val="en-GB"/>
              </w:rPr>
              <w:t>Regulatory capital</w:t>
            </w:r>
            <w:r w:rsidR="00D473D3" w:rsidRPr="00ED4758">
              <w:rPr>
                <w:lang w:val="en-GB"/>
              </w:rPr>
              <w:t xml:space="preserve"> </w:t>
            </w:r>
          </w:p>
        </w:tc>
        <w:tc>
          <w:tcPr>
            <w:tcW w:w="2304" w:type="dxa"/>
          </w:tcPr>
          <w:p w14:paraId="3AF574FA" w14:textId="40FDA68E" w:rsidR="00D473D3" w:rsidRPr="00ED4758" w:rsidRDefault="00D473D3" w:rsidP="00BB34F9">
            <w:pPr>
              <w:jc w:val="right"/>
              <w:rPr>
                <w:lang w:val="en-GB"/>
              </w:rPr>
            </w:pPr>
            <w:r w:rsidRPr="00ED4758">
              <w:rPr>
                <w:lang w:val="en-GB"/>
              </w:rPr>
              <w:t>210</w:t>
            </w:r>
            <w:r w:rsidR="00E043EA" w:rsidRPr="00ED4758">
              <w:rPr>
                <w:lang w:val="en-GB"/>
              </w:rPr>
              <w:t>,</w:t>
            </w:r>
            <w:r w:rsidRPr="00ED4758">
              <w:rPr>
                <w:lang w:val="en-GB"/>
              </w:rPr>
              <w:t>836</w:t>
            </w:r>
          </w:p>
        </w:tc>
        <w:tc>
          <w:tcPr>
            <w:tcW w:w="2305" w:type="dxa"/>
          </w:tcPr>
          <w:p w14:paraId="75956E4A" w14:textId="5606B587" w:rsidR="00D473D3" w:rsidRPr="00ED4758" w:rsidRDefault="00D473D3" w:rsidP="00BB34F9">
            <w:pPr>
              <w:jc w:val="right"/>
              <w:rPr>
                <w:lang w:val="en-GB"/>
              </w:rPr>
            </w:pPr>
            <w:r w:rsidRPr="00ED4758">
              <w:rPr>
                <w:lang w:val="en-GB"/>
              </w:rPr>
              <w:t>211</w:t>
            </w:r>
            <w:r w:rsidR="00E043EA" w:rsidRPr="00ED4758">
              <w:rPr>
                <w:lang w:val="en-GB"/>
              </w:rPr>
              <w:t>,</w:t>
            </w:r>
            <w:r w:rsidRPr="00ED4758">
              <w:rPr>
                <w:lang w:val="en-GB"/>
              </w:rPr>
              <w:t>420</w:t>
            </w:r>
          </w:p>
        </w:tc>
      </w:tr>
      <w:bookmarkEnd w:id="1"/>
    </w:tbl>
    <w:p w14:paraId="3903C1EF" w14:textId="77777777" w:rsidR="00D473D3" w:rsidRPr="00ED4758" w:rsidRDefault="00D473D3" w:rsidP="00BB34F9">
      <w:pPr>
        <w:ind w:firstLine="644"/>
        <w:jc w:val="both"/>
        <w:rPr>
          <w:lang w:val="en-GB"/>
        </w:rPr>
      </w:pPr>
    </w:p>
    <w:p w14:paraId="6033C989" w14:textId="0CD4F9E9" w:rsidR="00D473D3" w:rsidRPr="00ED4758" w:rsidRDefault="00E043EA" w:rsidP="00BB34F9">
      <w:pPr>
        <w:ind w:firstLine="644"/>
        <w:jc w:val="both"/>
        <w:rPr>
          <w:lang w:val="en-GB"/>
        </w:rPr>
      </w:pPr>
      <w:r w:rsidRPr="00ED4758">
        <w:rPr>
          <w:lang w:val="en-GB"/>
        </w:rPr>
        <w:t>In addition, the Bank not only complied with all economic and mandatory provision standard</w:t>
      </w:r>
      <w:r w:rsidR="00796BD9">
        <w:rPr>
          <w:lang w:val="en-GB"/>
        </w:rPr>
        <w:t>s</w:t>
      </w:r>
      <w:r w:rsidRPr="00ED4758">
        <w:rPr>
          <w:lang w:val="en-GB"/>
        </w:rPr>
        <w:t xml:space="preserve">, but also had a significant margin of compliance: </w:t>
      </w:r>
    </w:p>
    <w:p w14:paraId="3DC77EA9" w14:textId="77777777" w:rsidR="00D473D3" w:rsidRPr="00ED4758" w:rsidRDefault="00D473D3" w:rsidP="00BB34F9">
      <w:pPr>
        <w:ind w:firstLine="644"/>
        <w:jc w:val="both"/>
        <w:rPr>
          <w:lang w:val="en-GB"/>
        </w:rPr>
      </w:pPr>
    </w:p>
    <w:tbl>
      <w:tblPr>
        <w:tblStyle w:val="TableGrid"/>
        <w:tblW w:w="0" w:type="auto"/>
        <w:jc w:val="center"/>
        <w:tblLook w:val="04A0" w:firstRow="1" w:lastRow="0" w:firstColumn="1" w:lastColumn="0" w:noHBand="0" w:noVBand="1"/>
      </w:tblPr>
      <w:tblGrid>
        <w:gridCol w:w="1235"/>
        <w:gridCol w:w="5053"/>
        <w:gridCol w:w="1549"/>
        <w:gridCol w:w="1508"/>
      </w:tblGrid>
      <w:tr w:rsidR="00D473D3" w:rsidRPr="00ED4758" w14:paraId="1A0228F4" w14:textId="77777777" w:rsidTr="0014424C">
        <w:trPr>
          <w:jc w:val="center"/>
        </w:trPr>
        <w:tc>
          <w:tcPr>
            <w:tcW w:w="1235" w:type="dxa"/>
          </w:tcPr>
          <w:p w14:paraId="2952F6D5" w14:textId="11872389" w:rsidR="00D473D3" w:rsidRPr="00ED4758" w:rsidRDefault="00E043EA" w:rsidP="00BB34F9">
            <w:pPr>
              <w:jc w:val="center"/>
              <w:rPr>
                <w:lang w:val="en-GB"/>
              </w:rPr>
            </w:pPr>
            <w:r w:rsidRPr="00ED4758">
              <w:rPr>
                <w:lang w:val="en-GB"/>
              </w:rPr>
              <w:t>Standard</w:t>
            </w:r>
          </w:p>
        </w:tc>
        <w:tc>
          <w:tcPr>
            <w:tcW w:w="5053" w:type="dxa"/>
          </w:tcPr>
          <w:p w14:paraId="6ED41042" w14:textId="2BF9DA06" w:rsidR="00D473D3" w:rsidRPr="00ED4758" w:rsidRDefault="00E043EA" w:rsidP="00BB34F9">
            <w:pPr>
              <w:jc w:val="center"/>
              <w:rPr>
                <w:lang w:val="en-GB"/>
              </w:rPr>
            </w:pPr>
            <w:r w:rsidRPr="00ED4758">
              <w:rPr>
                <w:lang w:val="en-GB"/>
              </w:rPr>
              <w:t>Name of the indicator</w:t>
            </w:r>
          </w:p>
        </w:tc>
        <w:tc>
          <w:tcPr>
            <w:tcW w:w="1549" w:type="dxa"/>
          </w:tcPr>
          <w:p w14:paraId="5880ADBC" w14:textId="0F593AE5" w:rsidR="00D473D3" w:rsidRPr="00ED4758" w:rsidRDefault="00E043EA" w:rsidP="00BB34F9">
            <w:pPr>
              <w:jc w:val="center"/>
              <w:rPr>
                <w:lang w:val="en-GB"/>
              </w:rPr>
            </w:pPr>
            <w:r w:rsidRPr="00ED4758">
              <w:rPr>
                <w:lang w:val="en-GB"/>
              </w:rPr>
              <w:t>Standard amount</w:t>
            </w:r>
          </w:p>
        </w:tc>
        <w:tc>
          <w:tcPr>
            <w:tcW w:w="1508" w:type="dxa"/>
          </w:tcPr>
          <w:p w14:paraId="20954844" w14:textId="21E48DCB" w:rsidR="00D473D3" w:rsidRPr="00ED4758" w:rsidRDefault="00E043EA" w:rsidP="00BB34F9">
            <w:pPr>
              <w:jc w:val="center"/>
              <w:rPr>
                <w:lang w:val="en-GB"/>
              </w:rPr>
            </w:pPr>
            <w:r w:rsidRPr="00ED4758">
              <w:rPr>
                <w:lang w:val="en-GB"/>
              </w:rPr>
              <w:t>Factual amount</w:t>
            </w:r>
          </w:p>
        </w:tc>
      </w:tr>
      <w:tr w:rsidR="00D473D3" w:rsidRPr="00ED4758" w14:paraId="00DB5FAB" w14:textId="77777777" w:rsidTr="0014424C">
        <w:trPr>
          <w:jc w:val="center"/>
        </w:trPr>
        <w:tc>
          <w:tcPr>
            <w:tcW w:w="1235" w:type="dxa"/>
          </w:tcPr>
          <w:p w14:paraId="5FE9E0B8" w14:textId="77777777" w:rsidR="00D473D3" w:rsidRPr="00ED4758" w:rsidRDefault="00D473D3" w:rsidP="00BB34F9">
            <w:pPr>
              <w:jc w:val="center"/>
              <w:rPr>
                <w:lang w:val="en-GB"/>
              </w:rPr>
            </w:pPr>
            <w:r w:rsidRPr="00ED4758">
              <w:rPr>
                <w:lang w:val="en-GB"/>
              </w:rPr>
              <w:t>Н1</w:t>
            </w:r>
          </w:p>
        </w:tc>
        <w:tc>
          <w:tcPr>
            <w:tcW w:w="5053" w:type="dxa"/>
          </w:tcPr>
          <w:p w14:paraId="2A5EE902" w14:textId="590FDF04" w:rsidR="00D473D3" w:rsidRPr="00ED4758" w:rsidRDefault="00E043EA" w:rsidP="00BB34F9">
            <w:pPr>
              <w:jc w:val="both"/>
              <w:rPr>
                <w:lang w:val="en-GB"/>
              </w:rPr>
            </w:pPr>
            <w:r w:rsidRPr="00ED4758">
              <w:rPr>
                <w:lang w:val="en-GB"/>
              </w:rPr>
              <w:t>The minimum amount of regulatory capital, UAH</w:t>
            </w:r>
            <w:r w:rsidR="00796BD9">
              <w:rPr>
                <w:lang w:val="en-GB"/>
              </w:rPr>
              <w:t xml:space="preserve"> thousand</w:t>
            </w:r>
          </w:p>
        </w:tc>
        <w:tc>
          <w:tcPr>
            <w:tcW w:w="1549" w:type="dxa"/>
          </w:tcPr>
          <w:p w14:paraId="161DB65D" w14:textId="7149164D" w:rsidR="00D473D3" w:rsidRPr="00ED4758" w:rsidRDefault="00D473D3" w:rsidP="00BB34F9">
            <w:pPr>
              <w:jc w:val="right"/>
              <w:rPr>
                <w:lang w:val="en-GB"/>
              </w:rPr>
            </w:pPr>
            <w:r w:rsidRPr="00ED4758">
              <w:rPr>
                <w:lang w:val="en-GB"/>
              </w:rPr>
              <w:t>200</w:t>
            </w:r>
            <w:r w:rsidR="00E043EA" w:rsidRPr="00ED4758">
              <w:rPr>
                <w:lang w:val="en-GB"/>
              </w:rPr>
              <w:t>,</w:t>
            </w:r>
            <w:r w:rsidRPr="00ED4758">
              <w:rPr>
                <w:lang w:val="en-GB"/>
              </w:rPr>
              <w:t xml:space="preserve">000 </w:t>
            </w:r>
          </w:p>
        </w:tc>
        <w:tc>
          <w:tcPr>
            <w:tcW w:w="1508" w:type="dxa"/>
          </w:tcPr>
          <w:p w14:paraId="0CE9CFF3" w14:textId="65CCDE1D" w:rsidR="00D473D3" w:rsidRPr="00ED4758" w:rsidRDefault="00D473D3" w:rsidP="00BB34F9">
            <w:pPr>
              <w:jc w:val="right"/>
              <w:rPr>
                <w:lang w:val="en-GB"/>
              </w:rPr>
            </w:pPr>
            <w:r w:rsidRPr="00ED4758">
              <w:rPr>
                <w:lang w:val="en-GB"/>
              </w:rPr>
              <w:t>211</w:t>
            </w:r>
            <w:r w:rsidR="00E043EA" w:rsidRPr="00ED4758">
              <w:rPr>
                <w:lang w:val="en-GB"/>
              </w:rPr>
              <w:t>,</w:t>
            </w:r>
            <w:r w:rsidRPr="00ED4758">
              <w:rPr>
                <w:lang w:val="en-GB"/>
              </w:rPr>
              <w:t>420</w:t>
            </w:r>
          </w:p>
        </w:tc>
      </w:tr>
      <w:tr w:rsidR="00D473D3" w:rsidRPr="00ED4758" w14:paraId="39BB293A" w14:textId="77777777" w:rsidTr="0014424C">
        <w:trPr>
          <w:jc w:val="center"/>
        </w:trPr>
        <w:tc>
          <w:tcPr>
            <w:tcW w:w="1235" w:type="dxa"/>
          </w:tcPr>
          <w:p w14:paraId="7AF1D40C" w14:textId="77777777" w:rsidR="00D473D3" w:rsidRPr="00ED4758" w:rsidRDefault="00D473D3" w:rsidP="00BB34F9">
            <w:pPr>
              <w:jc w:val="center"/>
              <w:rPr>
                <w:lang w:val="en-GB"/>
              </w:rPr>
            </w:pPr>
            <w:r w:rsidRPr="00ED4758">
              <w:rPr>
                <w:lang w:val="en-GB"/>
              </w:rPr>
              <w:t>Н2</w:t>
            </w:r>
          </w:p>
        </w:tc>
        <w:tc>
          <w:tcPr>
            <w:tcW w:w="5053" w:type="dxa"/>
          </w:tcPr>
          <w:p w14:paraId="2A60C1A7" w14:textId="13C93238" w:rsidR="00D473D3" w:rsidRPr="00ED4758" w:rsidRDefault="00E043EA" w:rsidP="00BB34F9">
            <w:pPr>
              <w:jc w:val="both"/>
              <w:rPr>
                <w:lang w:val="en-GB"/>
              </w:rPr>
            </w:pPr>
            <w:r w:rsidRPr="00ED4758">
              <w:rPr>
                <w:lang w:val="en-GB"/>
              </w:rPr>
              <w:t>The standard of regulatory capital adequacy</w:t>
            </w:r>
          </w:p>
        </w:tc>
        <w:tc>
          <w:tcPr>
            <w:tcW w:w="1549" w:type="dxa"/>
          </w:tcPr>
          <w:p w14:paraId="5CF1FB42" w14:textId="352E7BDC" w:rsidR="00D473D3" w:rsidRPr="00ED4758" w:rsidRDefault="00E043EA" w:rsidP="00BB34F9">
            <w:pPr>
              <w:jc w:val="right"/>
              <w:rPr>
                <w:lang w:val="en-GB"/>
              </w:rPr>
            </w:pPr>
            <w:r w:rsidRPr="00ED4758">
              <w:rPr>
                <w:lang w:val="en-GB"/>
              </w:rPr>
              <w:t>No less than</w:t>
            </w:r>
            <w:r w:rsidR="00D473D3" w:rsidRPr="00ED4758">
              <w:rPr>
                <w:lang w:val="en-GB"/>
              </w:rPr>
              <w:t xml:space="preserve"> 10%</w:t>
            </w:r>
          </w:p>
        </w:tc>
        <w:tc>
          <w:tcPr>
            <w:tcW w:w="1508" w:type="dxa"/>
          </w:tcPr>
          <w:p w14:paraId="4A40F9C7" w14:textId="53EB0D2E" w:rsidR="00D473D3" w:rsidRPr="00ED4758" w:rsidRDefault="00D473D3" w:rsidP="00BB34F9">
            <w:pPr>
              <w:jc w:val="right"/>
              <w:rPr>
                <w:lang w:val="en-GB"/>
              </w:rPr>
            </w:pPr>
            <w:r w:rsidRPr="00ED4758">
              <w:rPr>
                <w:lang w:val="en-GB"/>
              </w:rPr>
              <w:t>327</w:t>
            </w:r>
            <w:r w:rsidR="00E043EA" w:rsidRPr="00ED4758">
              <w:rPr>
                <w:lang w:val="en-GB"/>
              </w:rPr>
              <w:t>.</w:t>
            </w:r>
            <w:r w:rsidRPr="00ED4758">
              <w:rPr>
                <w:lang w:val="en-GB"/>
              </w:rPr>
              <w:t>04%</w:t>
            </w:r>
          </w:p>
        </w:tc>
      </w:tr>
      <w:tr w:rsidR="00D473D3" w:rsidRPr="00ED4758" w14:paraId="6E2ED373" w14:textId="77777777" w:rsidTr="0014424C">
        <w:trPr>
          <w:jc w:val="center"/>
        </w:trPr>
        <w:tc>
          <w:tcPr>
            <w:tcW w:w="1235" w:type="dxa"/>
          </w:tcPr>
          <w:p w14:paraId="5C29590E" w14:textId="77777777" w:rsidR="00D473D3" w:rsidRPr="00ED4758" w:rsidRDefault="00D473D3" w:rsidP="00BB34F9">
            <w:pPr>
              <w:jc w:val="center"/>
              <w:rPr>
                <w:lang w:val="en-GB"/>
              </w:rPr>
            </w:pPr>
            <w:r w:rsidRPr="00ED4758">
              <w:rPr>
                <w:lang w:val="en-GB"/>
              </w:rPr>
              <w:t>Н3</w:t>
            </w:r>
          </w:p>
        </w:tc>
        <w:tc>
          <w:tcPr>
            <w:tcW w:w="5053" w:type="dxa"/>
          </w:tcPr>
          <w:p w14:paraId="394A56C3" w14:textId="2B979A26" w:rsidR="00D473D3" w:rsidRPr="00ED4758" w:rsidRDefault="00E043EA" w:rsidP="00BB34F9">
            <w:pPr>
              <w:jc w:val="both"/>
              <w:rPr>
                <w:lang w:val="en-GB"/>
              </w:rPr>
            </w:pPr>
            <w:r w:rsidRPr="00ED4758">
              <w:rPr>
                <w:lang w:val="en-GB"/>
              </w:rPr>
              <w:t xml:space="preserve">The standard of equity adequacy </w:t>
            </w:r>
          </w:p>
        </w:tc>
        <w:tc>
          <w:tcPr>
            <w:tcW w:w="1549" w:type="dxa"/>
          </w:tcPr>
          <w:p w14:paraId="73EF4729" w14:textId="2E9BC933" w:rsidR="00D473D3" w:rsidRPr="00ED4758" w:rsidRDefault="00E043EA" w:rsidP="00BB34F9">
            <w:pPr>
              <w:jc w:val="right"/>
              <w:rPr>
                <w:lang w:val="en-GB"/>
              </w:rPr>
            </w:pPr>
            <w:r w:rsidRPr="00ED4758">
              <w:rPr>
                <w:lang w:val="en-GB"/>
              </w:rPr>
              <w:t xml:space="preserve">No less than </w:t>
            </w:r>
            <w:r w:rsidR="00D473D3" w:rsidRPr="00ED4758">
              <w:rPr>
                <w:lang w:val="en-GB"/>
              </w:rPr>
              <w:t>7%</w:t>
            </w:r>
          </w:p>
        </w:tc>
        <w:tc>
          <w:tcPr>
            <w:tcW w:w="1508" w:type="dxa"/>
          </w:tcPr>
          <w:p w14:paraId="3D89E54F" w14:textId="16002386" w:rsidR="00D473D3" w:rsidRPr="00ED4758" w:rsidRDefault="00D473D3" w:rsidP="00BB34F9">
            <w:pPr>
              <w:jc w:val="right"/>
              <w:rPr>
                <w:lang w:val="en-GB"/>
              </w:rPr>
            </w:pPr>
            <w:r w:rsidRPr="00ED4758">
              <w:rPr>
                <w:lang w:val="en-GB"/>
              </w:rPr>
              <w:t>290</w:t>
            </w:r>
            <w:r w:rsidR="00E043EA" w:rsidRPr="00ED4758">
              <w:rPr>
                <w:lang w:val="en-GB"/>
              </w:rPr>
              <w:t>.</w:t>
            </w:r>
            <w:r w:rsidRPr="00ED4758">
              <w:rPr>
                <w:lang w:val="en-GB"/>
              </w:rPr>
              <w:t>13%</w:t>
            </w:r>
          </w:p>
        </w:tc>
      </w:tr>
      <w:tr w:rsidR="00D473D3" w:rsidRPr="00ED4758" w14:paraId="7DB5577F" w14:textId="77777777" w:rsidTr="0014424C">
        <w:trPr>
          <w:jc w:val="center"/>
        </w:trPr>
        <w:tc>
          <w:tcPr>
            <w:tcW w:w="1235" w:type="dxa"/>
          </w:tcPr>
          <w:p w14:paraId="1572D51F" w14:textId="77777777" w:rsidR="00D473D3" w:rsidRPr="00ED4758" w:rsidRDefault="00D473D3" w:rsidP="00BB34F9">
            <w:pPr>
              <w:jc w:val="center"/>
              <w:rPr>
                <w:lang w:val="en-GB"/>
              </w:rPr>
            </w:pPr>
            <w:r w:rsidRPr="00ED4758">
              <w:rPr>
                <w:lang w:val="en-GB"/>
              </w:rPr>
              <w:t>Н6</w:t>
            </w:r>
          </w:p>
        </w:tc>
        <w:tc>
          <w:tcPr>
            <w:tcW w:w="5053" w:type="dxa"/>
          </w:tcPr>
          <w:p w14:paraId="7166C0EE" w14:textId="488B46AC" w:rsidR="00D473D3" w:rsidRPr="00ED4758" w:rsidRDefault="00E043EA" w:rsidP="00BB34F9">
            <w:pPr>
              <w:jc w:val="both"/>
              <w:rPr>
                <w:lang w:val="en-GB"/>
              </w:rPr>
            </w:pPr>
            <w:r w:rsidRPr="00ED4758">
              <w:rPr>
                <w:lang w:val="en-GB"/>
              </w:rPr>
              <w:t>The standard of short-term liquidity</w:t>
            </w:r>
          </w:p>
        </w:tc>
        <w:tc>
          <w:tcPr>
            <w:tcW w:w="1549" w:type="dxa"/>
          </w:tcPr>
          <w:p w14:paraId="0E044CEC" w14:textId="0D1C342A" w:rsidR="00D473D3" w:rsidRPr="00ED4758" w:rsidRDefault="00E043EA" w:rsidP="00BB34F9">
            <w:pPr>
              <w:jc w:val="right"/>
              <w:rPr>
                <w:lang w:val="en-GB"/>
              </w:rPr>
            </w:pPr>
            <w:r w:rsidRPr="00ED4758">
              <w:rPr>
                <w:lang w:val="en-GB"/>
              </w:rPr>
              <w:t xml:space="preserve">No less than </w:t>
            </w:r>
            <w:r w:rsidR="00D473D3" w:rsidRPr="00ED4758">
              <w:rPr>
                <w:lang w:val="en-GB"/>
              </w:rPr>
              <w:t>60%</w:t>
            </w:r>
          </w:p>
        </w:tc>
        <w:tc>
          <w:tcPr>
            <w:tcW w:w="1508" w:type="dxa"/>
          </w:tcPr>
          <w:p w14:paraId="5607A0EC" w14:textId="59D76C5D" w:rsidR="00D473D3" w:rsidRPr="00ED4758" w:rsidRDefault="00D473D3" w:rsidP="00BB34F9">
            <w:pPr>
              <w:jc w:val="right"/>
              <w:rPr>
                <w:lang w:val="en-GB"/>
              </w:rPr>
            </w:pPr>
            <w:r w:rsidRPr="00ED4758">
              <w:rPr>
                <w:lang w:val="en-GB"/>
              </w:rPr>
              <w:t>1864</w:t>
            </w:r>
            <w:r w:rsidR="00E043EA" w:rsidRPr="00ED4758">
              <w:rPr>
                <w:lang w:val="en-GB"/>
              </w:rPr>
              <w:t>.</w:t>
            </w:r>
            <w:r w:rsidRPr="00ED4758">
              <w:rPr>
                <w:lang w:val="en-GB"/>
              </w:rPr>
              <w:t>84%</w:t>
            </w:r>
          </w:p>
        </w:tc>
      </w:tr>
      <w:tr w:rsidR="00D473D3" w:rsidRPr="00ED4758" w14:paraId="7E5E0963" w14:textId="77777777" w:rsidTr="0014424C">
        <w:trPr>
          <w:jc w:val="center"/>
        </w:trPr>
        <w:tc>
          <w:tcPr>
            <w:tcW w:w="1235" w:type="dxa"/>
          </w:tcPr>
          <w:p w14:paraId="30EA9434" w14:textId="77777777" w:rsidR="00D473D3" w:rsidRPr="00ED4758" w:rsidRDefault="00D473D3" w:rsidP="00BB34F9">
            <w:pPr>
              <w:jc w:val="center"/>
              <w:rPr>
                <w:lang w:val="en-GB"/>
              </w:rPr>
            </w:pPr>
            <w:r w:rsidRPr="00ED4758">
              <w:rPr>
                <w:lang w:val="en-GB"/>
              </w:rPr>
              <w:t>Н7</w:t>
            </w:r>
          </w:p>
        </w:tc>
        <w:tc>
          <w:tcPr>
            <w:tcW w:w="5053" w:type="dxa"/>
          </w:tcPr>
          <w:p w14:paraId="32446C7A" w14:textId="4017531A" w:rsidR="00D473D3" w:rsidRPr="00ED4758" w:rsidRDefault="00E043EA" w:rsidP="00BB34F9">
            <w:pPr>
              <w:jc w:val="both"/>
              <w:rPr>
                <w:lang w:val="en-GB"/>
              </w:rPr>
            </w:pPr>
            <w:r w:rsidRPr="00ED4758">
              <w:rPr>
                <w:lang w:val="en-GB"/>
              </w:rPr>
              <w:t>The maximum amount of credit risk per counterparty</w:t>
            </w:r>
          </w:p>
        </w:tc>
        <w:tc>
          <w:tcPr>
            <w:tcW w:w="1549" w:type="dxa"/>
          </w:tcPr>
          <w:p w14:paraId="06025925" w14:textId="2AA58AFB" w:rsidR="00D473D3" w:rsidRPr="00ED4758" w:rsidRDefault="00E043EA" w:rsidP="00BB34F9">
            <w:pPr>
              <w:jc w:val="right"/>
              <w:rPr>
                <w:lang w:val="en-GB"/>
              </w:rPr>
            </w:pPr>
            <w:r w:rsidRPr="00ED4758">
              <w:rPr>
                <w:lang w:val="en-GB"/>
              </w:rPr>
              <w:t xml:space="preserve">No less than </w:t>
            </w:r>
            <w:r w:rsidR="00D473D3" w:rsidRPr="00ED4758">
              <w:rPr>
                <w:lang w:val="en-GB"/>
              </w:rPr>
              <w:t>25%</w:t>
            </w:r>
          </w:p>
        </w:tc>
        <w:tc>
          <w:tcPr>
            <w:tcW w:w="1508" w:type="dxa"/>
          </w:tcPr>
          <w:p w14:paraId="2322853C" w14:textId="77777777" w:rsidR="00D473D3" w:rsidRPr="00ED4758" w:rsidRDefault="00D473D3" w:rsidP="00BB34F9">
            <w:pPr>
              <w:jc w:val="right"/>
              <w:rPr>
                <w:lang w:val="en-GB"/>
              </w:rPr>
            </w:pPr>
            <w:r w:rsidRPr="00ED4758">
              <w:rPr>
                <w:lang w:val="en-GB"/>
              </w:rPr>
              <w:t>0%</w:t>
            </w:r>
          </w:p>
        </w:tc>
      </w:tr>
      <w:tr w:rsidR="00D473D3" w:rsidRPr="00ED4758" w14:paraId="052BE5E4" w14:textId="77777777" w:rsidTr="0014424C">
        <w:trPr>
          <w:jc w:val="center"/>
        </w:trPr>
        <w:tc>
          <w:tcPr>
            <w:tcW w:w="1235" w:type="dxa"/>
          </w:tcPr>
          <w:p w14:paraId="789B1CD0" w14:textId="77777777" w:rsidR="00D473D3" w:rsidRPr="00ED4758" w:rsidRDefault="00D473D3" w:rsidP="00BB34F9">
            <w:pPr>
              <w:jc w:val="center"/>
              <w:rPr>
                <w:lang w:val="en-GB"/>
              </w:rPr>
            </w:pPr>
            <w:r w:rsidRPr="00ED4758">
              <w:rPr>
                <w:lang w:val="en-GB"/>
              </w:rPr>
              <w:t>Н8</w:t>
            </w:r>
          </w:p>
        </w:tc>
        <w:tc>
          <w:tcPr>
            <w:tcW w:w="5053" w:type="dxa"/>
          </w:tcPr>
          <w:p w14:paraId="71AD4F85" w14:textId="73362225" w:rsidR="00D473D3" w:rsidRPr="00ED4758" w:rsidRDefault="00E043EA" w:rsidP="00BB34F9">
            <w:pPr>
              <w:jc w:val="both"/>
              <w:rPr>
                <w:lang w:val="en-GB"/>
              </w:rPr>
            </w:pPr>
            <w:r w:rsidRPr="00ED4758">
              <w:rPr>
                <w:lang w:val="en-GB"/>
              </w:rPr>
              <w:t>T</w:t>
            </w:r>
            <w:r w:rsidR="005B77B2" w:rsidRPr="00ED4758">
              <w:rPr>
                <w:lang w:val="en-GB"/>
              </w:rPr>
              <w:t>he high credit risk ratio</w:t>
            </w:r>
          </w:p>
        </w:tc>
        <w:tc>
          <w:tcPr>
            <w:tcW w:w="1549" w:type="dxa"/>
          </w:tcPr>
          <w:p w14:paraId="20D09A2E" w14:textId="21A37B78" w:rsidR="00D473D3" w:rsidRPr="00ED4758" w:rsidRDefault="00E043EA" w:rsidP="00BB34F9">
            <w:pPr>
              <w:jc w:val="right"/>
              <w:rPr>
                <w:lang w:val="en-GB"/>
              </w:rPr>
            </w:pPr>
            <w:r w:rsidRPr="00ED4758">
              <w:rPr>
                <w:lang w:val="en-GB"/>
              </w:rPr>
              <w:t xml:space="preserve">No less than </w:t>
            </w:r>
            <w:r w:rsidR="00D473D3" w:rsidRPr="00ED4758">
              <w:rPr>
                <w:lang w:val="en-GB"/>
              </w:rPr>
              <w:t>800%</w:t>
            </w:r>
          </w:p>
        </w:tc>
        <w:tc>
          <w:tcPr>
            <w:tcW w:w="1508" w:type="dxa"/>
          </w:tcPr>
          <w:p w14:paraId="7DB789BC" w14:textId="77777777" w:rsidR="00D473D3" w:rsidRPr="00ED4758" w:rsidRDefault="00D473D3" w:rsidP="00BB34F9">
            <w:pPr>
              <w:jc w:val="right"/>
              <w:rPr>
                <w:lang w:val="en-GB"/>
              </w:rPr>
            </w:pPr>
            <w:r w:rsidRPr="00ED4758">
              <w:rPr>
                <w:lang w:val="en-GB"/>
              </w:rPr>
              <w:t>0%</w:t>
            </w:r>
          </w:p>
        </w:tc>
      </w:tr>
      <w:tr w:rsidR="00D473D3" w:rsidRPr="00ED4758" w14:paraId="3DA1ED2D" w14:textId="77777777" w:rsidTr="0014424C">
        <w:trPr>
          <w:jc w:val="center"/>
        </w:trPr>
        <w:tc>
          <w:tcPr>
            <w:tcW w:w="1235" w:type="dxa"/>
          </w:tcPr>
          <w:p w14:paraId="001F0139" w14:textId="77777777" w:rsidR="00D473D3" w:rsidRPr="00ED4758" w:rsidRDefault="00D473D3" w:rsidP="00BB34F9">
            <w:pPr>
              <w:jc w:val="center"/>
              <w:rPr>
                <w:lang w:val="en-GB"/>
              </w:rPr>
            </w:pPr>
            <w:r w:rsidRPr="00ED4758">
              <w:rPr>
                <w:lang w:val="en-GB"/>
              </w:rPr>
              <w:t>Н9</w:t>
            </w:r>
          </w:p>
        </w:tc>
        <w:tc>
          <w:tcPr>
            <w:tcW w:w="5053" w:type="dxa"/>
          </w:tcPr>
          <w:p w14:paraId="407E8D52" w14:textId="2022B4D5" w:rsidR="00D473D3" w:rsidRPr="00ED4758" w:rsidRDefault="005B77B2" w:rsidP="00BB34F9">
            <w:pPr>
              <w:jc w:val="both"/>
              <w:rPr>
                <w:lang w:val="en-GB"/>
              </w:rPr>
            </w:pPr>
            <w:r w:rsidRPr="00ED4758">
              <w:rPr>
                <w:lang w:val="en-GB"/>
              </w:rPr>
              <w:t xml:space="preserve">The maximum credit risk ratio for transactions with related parties </w:t>
            </w:r>
          </w:p>
        </w:tc>
        <w:tc>
          <w:tcPr>
            <w:tcW w:w="1549" w:type="dxa"/>
          </w:tcPr>
          <w:p w14:paraId="520063AC" w14:textId="641481CE" w:rsidR="00D473D3" w:rsidRPr="00ED4758" w:rsidRDefault="00E043EA" w:rsidP="00BB34F9">
            <w:pPr>
              <w:jc w:val="right"/>
              <w:rPr>
                <w:lang w:val="en-GB"/>
              </w:rPr>
            </w:pPr>
            <w:r w:rsidRPr="00ED4758">
              <w:rPr>
                <w:lang w:val="en-GB"/>
              </w:rPr>
              <w:t xml:space="preserve">No less than </w:t>
            </w:r>
            <w:r w:rsidR="00D473D3" w:rsidRPr="00ED4758">
              <w:rPr>
                <w:lang w:val="en-GB"/>
              </w:rPr>
              <w:t>25%</w:t>
            </w:r>
          </w:p>
        </w:tc>
        <w:tc>
          <w:tcPr>
            <w:tcW w:w="1508" w:type="dxa"/>
          </w:tcPr>
          <w:p w14:paraId="73FCA063" w14:textId="77777777" w:rsidR="00D473D3" w:rsidRPr="00ED4758" w:rsidRDefault="00D473D3" w:rsidP="00BB34F9">
            <w:pPr>
              <w:jc w:val="right"/>
              <w:rPr>
                <w:lang w:val="en-GB"/>
              </w:rPr>
            </w:pPr>
            <w:r w:rsidRPr="00ED4758">
              <w:rPr>
                <w:lang w:val="en-GB"/>
              </w:rPr>
              <w:t>0%</w:t>
            </w:r>
          </w:p>
        </w:tc>
      </w:tr>
      <w:tr w:rsidR="00D473D3" w:rsidRPr="00ED4758" w14:paraId="2FFFE969" w14:textId="77777777" w:rsidTr="0014424C">
        <w:trPr>
          <w:jc w:val="center"/>
        </w:trPr>
        <w:tc>
          <w:tcPr>
            <w:tcW w:w="1235" w:type="dxa"/>
          </w:tcPr>
          <w:p w14:paraId="0814B0E4" w14:textId="77777777" w:rsidR="00D473D3" w:rsidRPr="00ED4758" w:rsidRDefault="00D473D3" w:rsidP="00BB34F9">
            <w:pPr>
              <w:jc w:val="center"/>
              <w:rPr>
                <w:lang w:val="en-GB"/>
              </w:rPr>
            </w:pPr>
            <w:r w:rsidRPr="00ED4758">
              <w:rPr>
                <w:lang w:val="en-GB"/>
              </w:rPr>
              <w:t>Н11</w:t>
            </w:r>
          </w:p>
        </w:tc>
        <w:tc>
          <w:tcPr>
            <w:tcW w:w="5053" w:type="dxa"/>
          </w:tcPr>
          <w:p w14:paraId="1CD2D0A1" w14:textId="6A43BCCF" w:rsidR="00D473D3" w:rsidRPr="00ED4758" w:rsidRDefault="005B77B2" w:rsidP="00BB34F9">
            <w:pPr>
              <w:jc w:val="both"/>
              <w:rPr>
                <w:lang w:val="en-GB"/>
              </w:rPr>
            </w:pPr>
            <w:r w:rsidRPr="00ED4758">
              <w:rPr>
                <w:lang w:val="en-GB"/>
              </w:rPr>
              <w:t>The standard of investment in securities separately per each institution</w:t>
            </w:r>
          </w:p>
        </w:tc>
        <w:tc>
          <w:tcPr>
            <w:tcW w:w="1549" w:type="dxa"/>
          </w:tcPr>
          <w:p w14:paraId="5E9A73FF" w14:textId="6DB77F21" w:rsidR="00D473D3" w:rsidRPr="00ED4758" w:rsidRDefault="00E043EA" w:rsidP="00BB34F9">
            <w:pPr>
              <w:jc w:val="right"/>
              <w:rPr>
                <w:lang w:val="en-GB"/>
              </w:rPr>
            </w:pPr>
            <w:r w:rsidRPr="00ED4758">
              <w:rPr>
                <w:lang w:val="en-GB"/>
              </w:rPr>
              <w:t xml:space="preserve">No less than </w:t>
            </w:r>
            <w:r w:rsidR="00D473D3" w:rsidRPr="00ED4758">
              <w:rPr>
                <w:lang w:val="en-GB"/>
              </w:rPr>
              <w:t>15%</w:t>
            </w:r>
          </w:p>
        </w:tc>
        <w:tc>
          <w:tcPr>
            <w:tcW w:w="1508" w:type="dxa"/>
          </w:tcPr>
          <w:p w14:paraId="6660F0B9" w14:textId="77777777" w:rsidR="00D473D3" w:rsidRPr="00ED4758" w:rsidRDefault="00D473D3" w:rsidP="00BB34F9">
            <w:pPr>
              <w:jc w:val="right"/>
              <w:rPr>
                <w:lang w:val="en-GB"/>
              </w:rPr>
            </w:pPr>
            <w:r w:rsidRPr="00ED4758">
              <w:rPr>
                <w:lang w:val="en-GB"/>
              </w:rPr>
              <w:t>0%</w:t>
            </w:r>
          </w:p>
        </w:tc>
      </w:tr>
      <w:tr w:rsidR="00D473D3" w:rsidRPr="00ED4758" w14:paraId="0B0E2738" w14:textId="77777777" w:rsidTr="0014424C">
        <w:trPr>
          <w:jc w:val="center"/>
        </w:trPr>
        <w:tc>
          <w:tcPr>
            <w:tcW w:w="1235" w:type="dxa"/>
          </w:tcPr>
          <w:p w14:paraId="07AA32D2" w14:textId="77777777" w:rsidR="00D473D3" w:rsidRPr="00ED4758" w:rsidRDefault="00D473D3" w:rsidP="00BB34F9">
            <w:pPr>
              <w:jc w:val="center"/>
              <w:rPr>
                <w:lang w:val="en-GB"/>
              </w:rPr>
            </w:pPr>
            <w:r w:rsidRPr="00ED4758">
              <w:rPr>
                <w:lang w:val="en-GB"/>
              </w:rPr>
              <w:t>Н12</w:t>
            </w:r>
          </w:p>
        </w:tc>
        <w:tc>
          <w:tcPr>
            <w:tcW w:w="5053" w:type="dxa"/>
          </w:tcPr>
          <w:p w14:paraId="276C5551" w14:textId="732058AF" w:rsidR="00D473D3" w:rsidRPr="00ED4758" w:rsidRDefault="005B77B2" w:rsidP="00BB34F9">
            <w:pPr>
              <w:jc w:val="both"/>
              <w:rPr>
                <w:lang w:val="en-GB"/>
              </w:rPr>
            </w:pPr>
            <w:r w:rsidRPr="00ED4758">
              <w:rPr>
                <w:lang w:val="en-GB"/>
              </w:rPr>
              <w:t xml:space="preserve">The standard of the total amount of investment </w:t>
            </w:r>
          </w:p>
        </w:tc>
        <w:tc>
          <w:tcPr>
            <w:tcW w:w="1549" w:type="dxa"/>
          </w:tcPr>
          <w:p w14:paraId="0211D2A8" w14:textId="776F57AA" w:rsidR="00D473D3" w:rsidRPr="00ED4758" w:rsidRDefault="00E043EA" w:rsidP="00BB34F9">
            <w:pPr>
              <w:jc w:val="right"/>
              <w:rPr>
                <w:lang w:val="en-GB"/>
              </w:rPr>
            </w:pPr>
            <w:r w:rsidRPr="00ED4758">
              <w:rPr>
                <w:lang w:val="en-GB"/>
              </w:rPr>
              <w:t xml:space="preserve">No less than </w:t>
            </w:r>
            <w:r w:rsidR="00D473D3" w:rsidRPr="00ED4758">
              <w:rPr>
                <w:lang w:val="en-GB"/>
              </w:rPr>
              <w:t>60%</w:t>
            </w:r>
          </w:p>
        </w:tc>
        <w:tc>
          <w:tcPr>
            <w:tcW w:w="1508" w:type="dxa"/>
          </w:tcPr>
          <w:p w14:paraId="00CB1C6D" w14:textId="77777777" w:rsidR="00D473D3" w:rsidRPr="00ED4758" w:rsidRDefault="00D473D3" w:rsidP="00BB34F9">
            <w:pPr>
              <w:jc w:val="right"/>
              <w:rPr>
                <w:lang w:val="en-GB"/>
              </w:rPr>
            </w:pPr>
            <w:r w:rsidRPr="00ED4758">
              <w:rPr>
                <w:lang w:val="en-GB"/>
              </w:rPr>
              <w:t>0%</w:t>
            </w:r>
          </w:p>
        </w:tc>
      </w:tr>
      <w:tr w:rsidR="00D473D3" w:rsidRPr="00ED4758" w14:paraId="287D3316" w14:textId="77777777" w:rsidTr="0014424C">
        <w:trPr>
          <w:jc w:val="center"/>
        </w:trPr>
        <w:tc>
          <w:tcPr>
            <w:tcW w:w="1235" w:type="dxa"/>
          </w:tcPr>
          <w:p w14:paraId="39033A7F" w14:textId="085567AD" w:rsidR="00D473D3" w:rsidRPr="00ED4758" w:rsidRDefault="00E043EA" w:rsidP="00BB34F9">
            <w:pPr>
              <w:jc w:val="center"/>
              <w:rPr>
                <w:lang w:val="en-GB"/>
              </w:rPr>
            </w:pPr>
            <w:r w:rsidRPr="00ED4758">
              <w:rPr>
                <w:lang w:val="en-GB"/>
              </w:rPr>
              <w:t>L</w:t>
            </w:r>
            <w:r w:rsidR="00D473D3" w:rsidRPr="00ED4758">
              <w:rPr>
                <w:lang w:val="en-GB"/>
              </w:rPr>
              <w:t xml:space="preserve"> 13-1</w:t>
            </w:r>
          </w:p>
        </w:tc>
        <w:tc>
          <w:tcPr>
            <w:tcW w:w="5053" w:type="dxa"/>
          </w:tcPr>
          <w:p w14:paraId="4BE7F8D4" w14:textId="732C7A57" w:rsidR="00D473D3" w:rsidRPr="00ED4758" w:rsidRDefault="005B77B2" w:rsidP="00BB34F9">
            <w:pPr>
              <w:jc w:val="both"/>
              <w:rPr>
                <w:lang w:val="en-GB"/>
              </w:rPr>
            </w:pPr>
            <w:r w:rsidRPr="00ED4758">
              <w:rPr>
                <w:lang w:val="en-GB"/>
              </w:rPr>
              <w:t>The long open currency position limit</w:t>
            </w:r>
          </w:p>
        </w:tc>
        <w:tc>
          <w:tcPr>
            <w:tcW w:w="1549" w:type="dxa"/>
          </w:tcPr>
          <w:p w14:paraId="1D41AF24" w14:textId="0CC5C15D" w:rsidR="00D473D3" w:rsidRPr="00ED4758" w:rsidRDefault="00E043EA" w:rsidP="00BB34F9">
            <w:pPr>
              <w:jc w:val="right"/>
              <w:rPr>
                <w:lang w:val="en-GB"/>
              </w:rPr>
            </w:pPr>
            <w:r w:rsidRPr="00ED4758">
              <w:rPr>
                <w:lang w:val="en-GB"/>
              </w:rPr>
              <w:t xml:space="preserve">No less than </w:t>
            </w:r>
            <w:r w:rsidR="00D473D3" w:rsidRPr="00ED4758">
              <w:rPr>
                <w:lang w:val="en-GB"/>
              </w:rPr>
              <w:t>5%</w:t>
            </w:r>
          </w:p>
        </w:tc>
        <w:tc>
          <w:tcPr>
            <w:tcW w:w="1508" w:type="dxa"/>
          </w:tcPr>
          <w:p w14:paraId="7BE8AE8C" w14:textId="77777777" w:rsidR="00D473D3" w:rsidRPr="00ED4758" w:rsidRDefault="00D473D3" w:rsidP="00BB34F9">
            <w:pPr>
              <w:jc w:val="right"/>
              <w:rPr>
                <w:lang w:val="en-GB"/>
              </w:rPr>
            </w:pPr>
            <w:r w:rsidRPr="00ED4758">
              <w:rPr>
                <w:lang w:val="en-GB"/>
              </w:rPr>
              <w:t>1%</w:t>
            </w:r>
          </w:p>
        </w:tc>
      </w:tr>
      <w:tr w:rsidR="00D473D3" w:rsidRPr="00ED4758" w14:paraId="6234DE07" w14:textId="77777777" w:rsidTr="0014424C">
        <w:trPr>
          <w:jc w:val="center"/>
        </w:trPr>
        <w:tc>
          <w:tcPr>
            <w:tcW w:w="1235" w:type="dxa"/>
          </w:tcPr>
          <w:p w14:paraId="661DA124" w14:textId="2395D0DD" w:rsidR="00D473D3" w:rsidRPr="00ED4758" w:rsidRDefault="00E043EA" w:rsidP="00BB34F9">
            <w:pPr>
              <w:jc w:val="center"/>
              <w:rPr>
                <w:lang w:val="en-GB"/>
              </w:rPr>
            </w:pPr>
            <w:r w:rsidRPr="00ED4758">
              <w:rPr>
                <w:lang w:val="en-GB"/>
              </w:rPr>
              <w:t>L</w:t>
            </w:r>
            <w:r w:rsidR="00D473D3" w:rsidRPr="00ED4758">
              <w:rPr>
                <w:lang w:val="en-GB"/>
              </w:rPr>
              <w:t xml:space="preserve"> 13-2</w:t>
            </w:r>
          </w:p>
        </w:tc>
        <w:tc>
          <w:tcPr>
            <w:tcW w:w="5053" w:type="dxa"/>
          </w:tcPr>
          <w:p w14:paraId="19BBCD3A" w14:textId="6F00F39F" w:rsidR="00D473D3" w:rsidRPr="00ED4758" w:rsidRDefault="005B77B2" w:rsidP="00BB34F9">
            <w:pPr>
              <w:jc w:val="both"/>
              <w:rPr>
                <w:lang w:val="en-GB"/>
              </w:rPr>
            </w:pPr>
            <w:r w:rsidRPr="00ED4758">
              <w:rPr>
                <w:lang w:val="en-GB"/>
              </w:rPr>
              <w:t>The short open currency position limit</w:t>
            </w:r>
          </w:p>
        </w:tc>
        <w:tc>
          <w:tcPr>
            <w:tcW w:w="1549" w:type="dxa"/>
          </w:tcPr>
          <w:p w14:paraId="54BCFA2B" w14:textId="6BFFCFCC" w:rsidR="00D473D3" w:rsidRPr="00ED4758" w:rsidRDefault="00E043EA" w:rsidP="00BB34F9">
            <w:pPr>
              <w:jc w:val="right"/>
              <w:rPr>
                <w:lang w:val="en-GB"/>
              </w:rPr>
            </w:pPr>
            <w:r w:rsidRPr="00ED4758">
              <w:rPr>
                <w:lang w:val="en-GB"/>
              </w:rPr>
              <w:t xml:space="preserve">No less than </w:t>
            </w:r>
            <w:r w:rsidR="00D473D3" w:rsidRPr="00ED4758">
              <w:rPr>
                <w:lang w:val="en-GB"/>
              </w:rPr>
              <w:t>5%</w:t>
            </w:r>
          </w:p>
        </w:tc>
        <w:tc>
          <w:tcPr>
            <w:tcW w:w="1508" w:type="dxa"/>
          </w:tcPr>
          <w:p w14:paraId="70D62420" w14:textId="77777777" w:rsidR="00D473D3" w:rsidRPr="00ED4758" w:rsidRDefault="00D473D3" w:rsidP="00BB34F9">
            <w:pPr>
              <w:jc w:val="right"/>
              <w:rPr>
                <w:lang w:val="en-GB"/>
              </w:rPr>
            </w:pPr>
            <w:r w:rsidRPr="00ED4758">
              <w:rPr>
                <w:lang w:val="en-GB"/>
              </w:rPr>
              <w:t>0%</w:t>
            </w:r>
          </w:p>
        </w:tc>
      </w:tr>
      <w:tr w:rsidR="00D473D3" w:rsidRPr="00ED4758" w14:paraId="4FD16DE2" w14:textId="77777777" w:rsidTr="0014424C">
        <w:trPr>
          <w:jc w:val="center"/>
        </w:trPr>
        <w:tc>
          <w:tcPr>
            <w:tcW w:w="1235" w:type="dxa"/>
          </w:tcPr>
          <w:p w14:paraId="21369CDE" w14:textId="77777777" w:rsidR="00D473D3" w:rsidRPr="00ED4758" w:rsidRDefault="00D473D3" w:rsidP="00BB34F9">
            <w:pPr>
              <w:jc w:val="center"/>
              <w:rPr>
                <w:lang w:val="en-GB"/>
              </w:rPr>
            </w:pPr>
            <w:r w:rsidRPr="00ED4758">
              <w:rPr>
                <w:lang w:val="en-GB"/>
              </w:rPr>
              <w:t xml:space="preserve">LCR </w:t>
            </w:r>
            <w:r w:rsidRPr="00ED4758">
              <w:rPr>
                <w:vertAlign w:val="subscript"/>
                <w:lang w:val="en-GB"/>
              </w:rPr>
              <w:t>IB</w:t>
            </w:r>
          </w:p>
        </w:tc>
        <w:tc>
          <w:tcPr>
            <w:tcW w:w="5053" w:type="dxa"/>
          </w:tcPr>
          <w:p w14:paraId="472CC0D2" w14:textId="50E8ADF9" w:rsidR="00D473D3" w:rsidRPr="00ED4758" w:rsidRDefault="005B77B2" w:rsidP="00BB34F9">
            <w:pPr>
              <w:jc w:val="both"/>
              <w:rPr>
                <w:lang w:val="en-GB"/>
              </w:rPr>
            </w:pPr>
            <w:r w:rsidRPr="00ED4758">
              <w:rPr>
                <w:lang w:val="en-GB"/>
              </w:rPr>
              <w:t>Foreign currency liquidity coverage ratio</w:t>
            </w:r>
          </w:p>
        </w:tc>
        <w:tc>
          <w:tcPr>
            <w:tcW w:w="1549" w:type="dxa"/>
          </w:tcPr>
          <w:p w14:paraId="1AEE1FC5" w14:textId="06F565E4" w:rsidR="00D473D3" w:rsidRPr="00ED4758" w:rsidRDefault="00E043EA" w:rsidP="00BB34F9">
            <w:pPr>
              <w:jc w:val="right"/>
              <w:rPr>
                <w:lang w:val="en-GB"/>
              </w:rPr>
            </w:pPr>
            <w:r w:rsidRPr="00ED4758">
              <w:rPr>
                <w:lang w:val="en-GB"/>
              </w:rPr>
              <w:t xml:space="preserve">No less than </w:t>
            </w:r>
            <w:r w:rsidR="00D473D3" w:rsidRPr="00ED4758">
              <w:rPr>
                <w:lang w:val="en-GB"/>
              </w:rPr>
              <w:t>100%</w:t>
            </w:r>
          </w:p>
        </w:tc>
        <w:tc>
          <w:tcPr>
            <w:tcW w:w="1508" w:type="dxa"/>
          </w:tcPr>
          <w:p w14:paraId="3C457620" w14:textId="47D946AB" w:rsidR="00D473D3" w:rsidRPr="00ED4758" w:rsidRDefault="00D473D3" w:rsidP="00BB34F9">
            <w:pPr>
              <w:jc w:val="right"/>
              <w:rPr>
                <w:lang w:val="en-GB"/>
              </w:rPr>
            </w:pPr>
            <w:r w:rsidRPr="00ED4758">
              <w:rPr>
                <w:lang w:val="en-GB"/>
              </w:rPr>
              <w:t>8240</w:t>
            </w:r>
            <w:r w:rsidR="00E043EA" w:rsidRPr="00ED4758">
              <w:rPr>
                <w:lang w:val="en-GB"/>
              </w:rPr>
              <w:t>.</w:t>
            </w:r>
            <w:r w:rsidRPr="00ED4758">
              <w:rPr>
                <w:lang w:val="en-GB"/>
              </w:rPr>
              <w:t>7491%</w:t>
            </w:r>
          </w:p>
        </w:tc>
      </w:tr>
      <w:tr w:rsidR="00D473D3" w:rsidRPr="00ED4758" w14:paraId="3DB4C91E" w14:textId="77777777" w:rsidTr="0014424C">
        <w:trPr>
          <w:jc w:val="center"/>
        </w:trPr>
        <w:tc>
          <w:tcPr>
            <w:tcW w:w="1235" w:type="dxa"/>
          </w:tcPr>
          <w:p w14:paraId="30716326" w14:textId="77777777" w:rsidR="00D473D3" w:rsidRPr="00ED4758" w:rsidRDefault="00D473D3" w:rsidP="00BB34F9">
            <w:pPr>
              <w:jc w:val="center"/>
              <w:rPr>
                <w:lang w:val="en-GB"/>
              </w:rPr>
            </w:pPr>
            <w:r w:rsidRPr="00ED4758">
              <w:rPr>
                <w:lang w:val="en-GB"/>
              </w:rPr>
              <w:t xml:space="preserve">LCR </w:t>
            </w:r>
            <w:r w:rsidRPr="00ED4758">
              <w:rPr>
                <w:vertAlign w:val="subscript"/>
                <w:lang w:val="en-GB"/>
              </w:rPr>
              <w:t>BB</w:t>
            </w:r>
          </w:p>
        </w:tc>
        <w:tc>
          <w:tcPr>
            <w:tcW w:w="5053" w:type="dxa"/>
          </w:tcPr>
          <w:p w14:paraId="08F57FCD" w14:textId="67F6E165" w:rsidR="00D473D3" w:rsidRPr="00ED4758" w:rsidRDefault="005B77B2" w:rsidP="00BB34F9">
            <w:pPr>
              <w:jc w:val="both"/>
              <w:rPr>
                <w:lang w:val="en-GB"/>
              </w:rPr>
            </w:pPr>
            <w:r w:rsidRPr="00ED4758">
              <w:rPr>
                <w:lang w:val="en-GB"/>
              </w:rPr>
              <w:t>The liquidity coverage ratio for all currencies</w:t>
            </w:r>
          </w:p>
        </w:tc>
        <w:tc>
          <w:tcPr>
            <w:tcW w:w="1549" w:type="dxa"/>
          </w:tcPr>
          <w:p w14:paraId="4D348A87" w14:textId="6B762A58" w:rsidR="00D473D3" w:rsidRPr="00ED4758" w:rsidRDefault="00E043EA" w:rsidP="00BB34F9">
            <w:pPr>
              <w:jc w:val="right"/>
              <w:rPr>
                <w:lang w:val="en-GB"/>
              </w:rPr>
            </w:pPr>
            <w:r w:rsidRPr="00ED4758">
              <w:rPr>
                <w:lang w:val="en-GB"/>
              </w:rPr>
              <w:t xml:space="preserve">No less than </w:t>
            </w:r>
            <w:r w:rsidR="00D473D3" w:rsidRPr="00ED4758">
              <w:rPr>
                <w:lang w:val="en-GB"/>
              </w:rPr>
              <w:t>100%</w:t>
            </w:r>
          </w:p>
        </w:tc>
        <w:tc>
          <w:tcPr>
            <w:tcW w:w="1508" w:type="dxa"/>
          </w:tcPr>
          <w:p w14:paraId="73B33994" w14:textId="3922C8A7" w:rsidR="00D473D3" w:rsidRPr="00ED4758" w:rsidRDefault="00D473D3" w:rsidP="00BB34F9">
            <w:pPr>
              <w:jc w:val="right"/>
              <w:rPr>
                <w:lang w:val="en-GB"/>
              </w:rPr>
            </w:pPr>
            <w:r w:rsidRPr="00ED4758">
              <w:rPr>
                <w:lang w:val="en-GB"/>
              </w:rPr>
              <w:t>124</w:t>
            </w:r>
            <w:r w:rsidR="00E043EA" w:rsidRPr="00ED4758">
              <w:rPr>
                <w:lang w:val="en-GB"/>
              </w:rPr>
              <w:t>.</w:t>
            </w:r>
            <w:r w:rsidRPr="00ED4758">
              <w:rPr>
                <w:lang w:val="en-GB"/>
              </w:rPr>
              <w:t>4093%</w:t>
            </w:r>
          </w:p>
        </w:tc>
      </w:tr>
    </w:tbl>
    <w:p w14:paraId="5B946288" w14:textId="77777777" w:rsidR="00B45100" w:rsidRPr="00ED4758" w:rsidRDefault="00B45100" w:rsidP="00BB34F9">
      <w:pPr>
        <w:ind w:firstLine="644"/>
        <w:jc w:val="both"/>
        <w:rPr>
          <w:highlight w:val="yellow"/>
          <w:lang w:val="en-GB"/>
        </w:rPr>
      </w:pPr>
    </w:p>
    <w:p w14:paraId="6694E50E" w14:textId="5D0B6943" w:rsidR="00B45100" w:rsidRPr="00ED4758" w:rsidRDefault="005B77B2" w:rsidP="00BB34F9">
      <w:pPr>
        <w:jc w:val="center"/>
        <w:rPr>
          <w:b/>
          <w:i/>
          <w:lang w:val="en-GB"/>
        </w:rPr>
      </w:pPr>
      <w:r w:rsidRPr="00ED4758">
        <w:rPr>
          <w:b/>
          <w:i/>
          <w:lang w:val="en-GB"/>
        </w:rPr>
        <w:t>Corporate Governance Report</w:t>
      </w:r>
    </w:p>
    <w:p w14:paraId="79242845" w14:textId="77777777" w:rsidR="00B45100" w:rsidRPr="00ED4758" w:rsidRDefault="00B45100" w:rsidP="00BB34F9">
      <w:pPr>
        <w:jc w:val="both"/>
        <w:rPr>
          <w:lang w:val="en-GB"/>
        </w:rPr>
      </w:pPr>
    </w:p>
    <w:p w14:paraId="2EF42AB3" w14:textId="1E0BC020" w:rsidR="00CC1EFF" w:rsidRPr="00ED4758" w:rsidRDefault="00CC1EFF" w:rsidP="00CC1EFF">
      <w:pPr>
        <w:ind w:firstLine="567"/>
        <w:jc w:val="both"/>
        <w:rPr>
          <w:lang w:val="en-GB"/>
        </w:rPr>
      </w:pPr>
      <w:r w:rsidRPr="00ED4758">
        <w:rPr>
          <w:lang w:val="en-GB"/>
        </w:rPr>
        <w:t xml:space="preserve">The Bank uses national and international corporate governance practices in accordance with the requirements of Ukrainian legislation. The Bank is governed by the Corporate Governance Code, approved by the Decision of the </w:t>
      </w:r>
      <w:r w:rsidR="00DA643F">
        <w:rPr>
          <w:lang w:val="en-GB"/>
        </w:rPr>
        <w:t>sole</w:t>
      </w:r>
      <w:r w:rsidRPr="00ED4758">
        <w:rPr>
          <w:lang w:val="en-GB"/>
        </w:rPr>
        <w:t xml:space="preserve"> shareholder No. 6 dated April 24, 2018.</w:t>
      </w:r>
    </w:p>
    <w:p w14:paraId="6816D34A" w14:textId="77777777" w:rsidR="00CC1EFF" w:rsidRPr="00ED4758" w:rsidRDefault="00CC1EFF" w:rsidP="00CC1EFF">
      <w:pPr>
        <w:ind w:firstLine="567"/>
        <w:jc w:val="both"/>
        <w:rPr>
          <w:lang w:val="en-GB"/>
        </w:rPr>
      </w:pPr>
      <w:r w:rsidRPr="00ED4758">
        <w:rPr>
          <w:lang w:val="en-GB"/>
        </w:rPr>
        <w:t>The Code is publicly available on the Bank's website (www.ubrr.com.ua).</w:t>
      </w:r>
    </w:p>
    <w:p w14:paraId="4EB4BBE9" w14:textId="77777777" w:rsidR="00CC1EFF" w:rsidRPr="00ED4758" w:rsidRDefault="00CC1EFF" w:rsidP="00CC1EFF">
      <w:pPr>
        <w:ind w:firstLine="567"/>
        <w:jc w:val="both"/>
        <w:rPr>
          <w:lang w:val="en-GB"/>
        </w:rPr>
      </w:pPr>
      <w:r w:rsidRPr="00ED4758">
        <w:rPr>
          <w:lang w:val="en-GB"/>
        </w:rPr>
        <w:t>During the reporting year, the Bank followed the principles set out in the Code.</w:t>
      </w:r>
    </w:p>
    <w:p w14:paraId="7B29C544" w14:textId="4402F0EA" w:rsidR="00B45100" w:rsidRPr="00ED4758" w:rsidRDefault="00DD46DF" w:rsidP="00CC1EFF">
      <w:pPr>
        <w:ind w:firstLine="567"/>
        <w:jc w:val="both"/>
        <w:rPr>
          <w:lang w:val="en-GB"/>
        </w:rPr>
      </w:pPr>
      <w:r w:rsidRPr="00ED4758">
        <w:rPr>
          <w:lang w:val="en-GB"/>
        </w:rPr>
        <w:t>There were no f</w:t>
      </w:r>
      <w:r w:rsidR="00CC1EFF" w:rsidRPr="00ED4758">
        <w:rPr>
          <w:lang w:val="en-GB"/>
        </w:rPr>
        <w:t xml:space="preserve">acts of violation by members of the Supervisory Board and </w:t>
      </w:r>
      <w:r w:rsidR="00796BD9">
        <w:rPr>
          <w:lang w:val="en-GB"/>
        </w:rPr>
        <w:t xml:space="preserve">the </w:t>
      </w:r>
      <w:r w:rsidRPr="00ED4758">
        <w:rPr>
          <w:lang w:val="en-GB"/>
        </w:rPr>
        <w:t>Executive</w:t>
      </w:r>
      <w:r w:rsidR="00CC1EFF" w:rsidRPr="00ED4758">
        <w:rPr>
          <w:lang w:val="en-GB"/>
        </w:rPr>
        <w:t xml:space="preserve"> Board of internal rules, which would lead to damage to the Bank or to depositors of the Bank.</w:t>
      </w:r>
    </w:p>
    <w:p w14:paraId="4CBBA461" w14:textId="2522B50B" w:rsidR="00DD46DF" w:rsidRPr="00ED4758" w:rsidRDefault="00DD46DF" w:rsidP="00DD46DF">
      <w:pPr>
        <w:ind w:firstLine="567"/>
        <w:jc w:val="both"/>
        <w:rPr>
          <w:lang w:val="en-GB"/>
        </w:rPr>
      </w:pPr>
      <w:r w:rsidRPr="00ED4758">
        <w:rPr>
          <w:lang w:val="en-GB"/>
        </w:rPr>
        <w:t>During the reporting year, there were no cases of imposing sanctions on the Bank, members of the Supervisory Board and the Executive Board by state authorities.</w:t>
      </w:r>
    </w:p>
    <w:p w14:paraId="74077050" w14:textId="40FBA628" w:rsidR="00DD46DF" w:rsidRPr="00ED4758" w:rsidRDefault="00DD46DF" w:rsidP="007A536C">
      <w:pPr>
        <w:ind w:firstLine="567"/>
        <w:jc w:val="both"/>
        <w:rPr>
          <w:lang w:val="en-GB"/>
        </w:rPr>
      </w:pPr>
      <w:r w:rsidRPr="00ED4758">
        <w:rPr>
          <w:lang w:val="en-GB"/>
        </w:rPr>
        <w:lastRenderedPageBreak/>
        <w:t xml:space="preserve">In 2019, the Committee on </w:t>
      </w:r>
      <w:r w:rsidR="00F3200D" w:rsidRPr="00ED4758">
        <w:rPr>
          <w:lang w:val="en-GB"/>
        </w:rPr>
        <w:t>supervision and regulation of banks</w:t>
      </w:r>
      <w:r w:rsidRPr="00ED4758">
        <w:rPr>
          <w:lang w:val="en-GB"/>
        </w:rPr>
        <w:t xml:space="preserve">, oversight of payment systems of the National Bank of Ukraine, Decision No.537 of 23.10.2019 applied to the Bank </w:t>
      </w:r>
      <w:r w:rsidR="007F608E" w:rsidRPr="00ED4758">
        <w:rPr>
          <w:lang w:val="en-GB"/>
        </w:rPr>
        <w:t xml:space="preserve">an enforcement measure in the form of </w:t>
      </w:r>
      <w:r w:rsidRPr="00ED4758">
        <w:rPr>
          <w:lang w:val="en-GB"/>
        </w:rPr>
        <w:t xml:space="preserve">a written warning because of the Bank's violation of the requirements of the Regulation on determination </w:t>
      </w:r>
      <w:r w:rsidR="007F608E" w:rsidRPr="00ED4758">
        <w:rPr>
          <w:lang w:val="en-GB"/>
        </w:rPr>
        <w:t>by</w:t>
      </w:r>
      <w:r w:rsidRPr="00ED4758">
        <w:rPr>
          <w:lang w:val="en-GB"/>
        </w:rPr>
        <w:t xml:space="preserve"> Ukrainian banks </w:t>
      </w:r>
      <w:r w:rsidR="007F608E" w:rsidRPr="00ED4758">
        <w:rPr>
          <w:lang w:val="en-GB"/>
        </w:rPr>
        <w:t>of</w:t>
      </w:r>
      <w:r w:rsidRPr="00ED4758">
        <w:rPr>
          <w:lang w:val="en-GB"/>
        </w:rPr>
        <w:t xml:space="preserve"> credit risk on active banking operations, approved by the resolution of the Board of the National Bank of Ukraine dated 30.06.2016 </w:t>
      </w:r>
      <w:r w:rsidR="007F608E" w:rsidRPr="00ED4758">
        <w:rPr>
          <w:lang w:val="en-GB"/>
        </w:rPr>
        <w:t>No.</w:t>
      </w:r>
      <w:r w:rsidRPr="00ED4758">
        <w:rPr>
          <w:lang w:val="en-GB"/>
        </w:rPr>
        <w:t>351.</w:t>
      </w:r>
    </w:p>
    <w:p w14:paraId="64AB47C1" w14:textId="77777777" w:rsidR="00B45100" w:rsidRPr="00ED4758" w:rsidRDefault="00B45100" w:rsidP="00BB34F9">
      <w:pPr>
        <w:jc w:val="both"/>
        <w:rPr>
          <w:lang w:val="en-GB"/>
        </w:rPr>
      </w:pPr>
    </w:p>
    <w:p w14:paraId="19ECA7A9" w14:textId="50062C64" w:rsidR="00B45100" w:rsidRPr="00ED4758" w:rsidRDefault="007F608E" w:rsidP="00BB34F9">
      <w:pPr>
        <w:ind w:firstLine="567"/>
        <w:jc w:val="both"/>
        <w:rPr>
          <w:lang w:val="en-GB"/>
        </w:rPr>
      </w:pPr>
      <w:r w:rsidRPr="00ED4758">
        <w:rPr>
          <w:lang w:val="en-GB"/>
        </w:rPr>
        <w:t xml:space="preserve">The </w:t>
      </w:r>
      <w:r w:rsidR="00DA643F">
        <w:rPr>
          <w:lang w:val="en-GB"/>
        </w:rPr>
        <w:t>sole</w:t>
      </w:r>
      <w:r w:rsidRPr="00ED4758">
        <w:rPr>
          <w:lang w:val="en-GB"/>
        </w:rPr>
        <w:t xml:space="preserve"> shareholder of the Joint stock company “Ukrainian </w:t>
      </w:r>
      <w:r w:rsidR="00F3200D" w:rsidRPr="00ED4758">
        <w:rPr>
          <w:lang w:val="en-GB"/>
        </w:rPr>
        <w:t>bank for reconstruction and development</w:t>
      </w:r>
      <w:r w:rsidRPr="00ED4758">
        <w:rPr>
          <w:lang w:val="en-GB"/>
        </w:rPr>
        <w:t>” is LIMITED LIABILITY COMPANY “BOCE (HONG-KONG) co., LIMITED” (EDRPOU code</w:t>
      </w:r>
      <w:r w:rsidR="00B45100" w:rsidRPr="00ED4758">
        <w:rPr>
          <w:lang w:val="en-GB"/>
        </w:rPr>
        <w:t xml:space="preserve"> 40977562). </w:t>
      </w:r>
    </w:p>
    <w:p w14:paraId="2F800423" w14:textId="77777777" w:rsidR="007F608E" w:rsidRPr="00ED4758" w:rsidRDefault="007F608E" w:rsidP="00BB34F9">
      <w:pPr>
        <w:ind w:firstLine="567"/>
        <w:jc w:val="both"/>
        <w:rPr>
          <w:i/>
          <w:u w:val="single"/>
          <w:lang w:val="en-GB"/>
        </w:rPr>
      </w:pPr>
    </w:p>
    <w:p w14:paraId="26E8AB21" w14:textId="35AA40A3" w:rsidR="00B45100" w:rsidRPr="00ED4758" w:rsidRDefault="007F608E" w:rsidP="00BB34F9">
      <w:pPr>
        <w:ind w:firstLine="567"/>
        <w:jc w:val="both"/>
        <w:rPr>
          <w:i/>
          <w:u w:val="single"/>
          <w:lang w:val="en-GB"/>
        </w:rPr>
      </w:pPr>
      <w:r w:rsidRPr="00ED4758">
        <w:rPr>
          <w:i/>
          <w:u w:val="single"/>
          <w:lang w:val="en-GB"/>
        </w:rPr>
        <w:t>List of individuals who directly or indirectly own significant part of share</w:t>
      </w:r>
      <w:r w:rsidR="00F3200D">
        <w:rPr>
          <w:i/>
          <w:u w:val="single"/>
          <w:lang w:val="en-GB"/>
        </w:rPr>
        <w:t>s</w:t>
      </w:r>
      <w:r w:rsidRPr="00ED4758">
        <w:rPr>
          <w:i/>
          <w:u w:val="single"/>
          <w:lang w:val="en-GB"/>
        </w:rPr>
        <w:t xml:space="preserve"> of the issuer  </w:t>
      </w:r>
    </w:p>
    <w:p w14:paraId="5A401249" w14:textId="77777777" w:rsidR="007F608E" w:rsidRPr="00ED4758" w:rsidRDefault="007F608E" w:rsidP="007F608E">
      <w:pPr>
        <w:ind w:firstLine="567"/>
        <w:jc w:val="both"/>
        <w:rPr>
          <w:lang w:val="en-GB"/>
        </w:rPr>
      </w:pPr>
    </w:p>
    <w:p w14:paraId="5F7E6B41" w14:textId="77777777" w:rsidR="00F3200D" w:rsidRPr="00F3200D" w:rsidRDefault="00F3200D" w:rsidP="00F3200D">
      <w:pPr>
        <w:jc w:val="both"/>
        <w:rPr>
          <w:lang w:val="en-GB"/>
        </w:rPr>
      </w:pPr>
      <w:r w:rsidRPr="00F3200D">
        <w:rPr>
          <w:lang w:val="en-GB"/>
        </w:rPr>
        <w:t xml:space="preserve">As of December 31, 2019, the ultimate beneficiaries of the Bank are citizens of the PRC Yan Dongsheng and Dai </w:t>
      </w:r>
      <w:proofErr w:type="spellStart"/>
      <w:r w:rsidRPr="00F3200D">
        <w:rPr>
          <w:lang w:val="en-GB"/>
        </w:rPr>
        <w:t>Zhongyong</w:t>
      </w:r>
      <w:proofErr w:type="spellEnd"/>
      <w:r w:rsidRPr="00F3200D">
        <w:rPr>
          <w:lang w:val="en-GB"/>
        </w:rPr>
        <w:t xml:space="preserve"> jointly, who obtained joint indirect control in amount of 100% through: </w:t>
      </w:r>
    </w:p>
    <w:p w14:paraId="0FE585BE" w14:textId="77777777" w:rsidR="00F3200D" w:rsidRPr="00F3200D" w:rsidRDefault="00F3200D" w:rsidP="00F3200D">
      <w:pPr>
        <w:pStyle w:val="ListParagraph"/>
        <w:numPr>
          <w:ilvl w:val="0"/>
          <w:numId w:val="14"/>
        </w:numPr>
        <w:tabs>
          <w:tab w:val="clear" w:pos="7413"/>
          <w:tab w:val="num" w:pos="6096"/>
        </w:tabs>
        <w:ind w:left="709"/>
        <w:jc w:val="both"/>
        <w:rPr>
          <w:lang w:val="en-GB"/>
        </w:rPr>
      </w:pPr>
      <w:r w:rsidRPr="00F3200D">
        <w:rPr>
          <w:lang w:val="en-GB"/>
        </w:rPr>
        <w:t xml:space="preserve">LIMITED LIABILITY COMPANY “BOCE (HONG KONG) CO., LIMITED”, 80% shares of which belong to </w:t>
      </w:r>
      <w:r w:rsidRPr="00F3200D">
        <w:rPr>
          <w:bCs/>
          <w:iCs/>
          <w:lang w:val="en-GB"/>
        </w:rPr>
        <w:t>BOCE (Hong Kong) Co., Limited and 20% - to Yan Dongsheng</w:t>
      </w:r>
      <w:r w:rsidRPr="00F3200D">
        <w:rPr>
          <w:lang w:val="en-GB"/>
        </w:rPr>
        <w:t xml:space="preserve">; </w:t>
      </w:r>
    </w:p>
    <w:p w14:paraId="7348776D" w14:textId="77777777" w:rsidR="00F3200D" w:rsidRPr="00F3200D" w:rsidRDefault="00F3200D" w:rsidP="00F3200D">
      <w:pPr>
        <w:pStyle w:val="ListParagraph"/>
        <w:numPr>
          <w:ilvl w:val="0"/>
          <w:numId w:val="14"/>
        </w:numPr>
        <w:tabs>
          <w:tab w:val="clear" w:pos="7413"/>
          <w:tab w:val="num" w:pos="6096"/>
        </w:tabs>
        <w:ind w:left="709"/>
        <w:jc w:val="both"/>
        <w:rPr>
          <w:lang w:val="en-GB"/>
        </w:rPr>
      </w:pPr>
      <w:r w:rsidRPr="00F3200D">
        <w:rPr>
          <w:bCs/>
          <w:iCs/>
          <w:lang w:val="en-GB"/>
        </w:rPr>
        <w:t>BOCE (Hong Kong) Co., Limited (Hong Kong</w:t>
      </w:r>
      <w:r w:rsidRPr="00F3200D">
        <w:rPr>
          <w:lang w:val="en-GB"/>
        </w:rPr>
        <w:t xml:space="preserve">), 100% shares of which belong to </w:t>
      </w:r>
      <w:proofErr w:type="spellStart"/>
      <w:r w:rsidRPr="00F3200D">
        <w:rPr>
          <w:lang w:val="en-GB"/>
        </w:rPr>
        <w:t>Baoshi</w:t>
      </w:r>
      <w:proofErr w:type="spellEnd"/>
      <w:r w:rsidRPr="00F3200D">
        <w:rPr>
          <w:lang w:val="en-GB"/>
        </w:rPr>
        <w:t xml:space="preserve"> (Tianjin) Electronic Commerce Co., Ltd;</w:t>
      </w:r>
    </w:p>
    <w:p w14:paraId="3E1A93A6" w14:textId="77777777" w:rsidR="00F3200D" w:rsidRPr="00F3200D" w:rsidRDefault="00F3200D" w:rsidP="00F3200D">
      <w:pPr>
        <w:pStyle w:val="ListParagraph"/>
        <w:numPr>
          <w:ilvl w:val="0"/>
          <w:numId w:val="14"/>
        </w:numPr>
        <w:tabs>
          <w:tab w:val="clear" w:pos="7413"/>
          <w:tab w:val="num" w:pos="6096"/>
        </w:tabs>
        <w:ind w:left="709"/>
        <w:jc w:val="both"/>
        <w:rPr>
          <w:lang w:val="en-GB" w:eastAsia="zh-CN"/>
        </w:rPr>
      </w:pPr>
      <w:proofErr w:type="spellStart"/>
      <w:r w:rsidRPr="00F3200D">
        <w:rPr>
          <w:lang w:val="en-GB"/>
        </w:rPr>
        <w:t>Baoshi</w:t>
      </w:r>
      <w:proofErr w:type="spellEnd"/>
      <w:r w:rsidRPr="00F3200D">
        <w:rPr>
          <w:lang w:val="en-GB"/>
        </w:rPr>
        <w:t xml:space="preserve"> (Tianjin) Electronic Commerce Co., Ltd, 99% of shares of which belong to Tianjin joint stock company with limited liability “</w:t>
      </w:r>
      <w:r w:rsidRPr="00F3200D">
        <w:rPr>
          <w:lang w:val="en-GB" w:eastAsia="zh-CN"/>
        </w:rPr>
        <w:t>Tianjin Bohai Commodity Exchange Co., Ltd”;</w:t>
      </w:r>
    </w:p>
    <w:p w14:paraId="1C9F154F" w14:textId="77777777" w:rsidR="00F3200D" w:rsidRPr="00F3200D" w:rsidRDefault="00F3200D" w:rsidP="00F3200D">
      <w:pPr>
        <w:pStyle w:val="ListParagraph"/>
        <w:numPr>
          <w:ilvl w:val="0"/>
          <w:numId w:val="14"/>
        </w:numPr>
        <w:tabs>
          <w:tab w:val="clear" w:pos="7413"/>
          <w:tab w:val="num" w:pos="6096"/>
        </w:tabs>
        <w:ind w:left="709"/>
        <w:jc w:val="both"/>
        <w:rPr>
          <w:lang w:val="en-GB" w:eastAsia="zh-CN"/>
        </w:rPr>
      </w:pPr>
      <w:r w:rsidRPr="00F3200D">
        <w:rPr>
          <w:lang w:val="en-GB"/>
        </w:rPr>
        <w:t>Tianjin joint stock company with limited liability “</w:t>
      </w:r>
      <w:r w:rsidRPr="00F3200D">
        <w:rPr>
          <w:lang w:val="en-GB" w:eastAsia="zh-CN"/>
        </w:rPr>
        <w:t>Tianjin Bohai Commodity Exchange Co., Ltd”,</w:t>
      </w:r>
      <w:r w:rsidRPr="00F3200D">
        <w:rPr>
          <w:lang w:val="en-GB"/>
        </w:rPr>
        <w:t xml:space="preserve"> 15.5113% shares of which belong to Yan Dongsheng; 31.5802% shares belongs to Joint stock investment company </w:t>
      </w:r>
      <w:r w:rsidRPr="00F3200D">
        <w:rPr>
          <w:lang w:val="en-GB" w:eastAsia="zh-CN"/>
        </w:rPr>
        <w:t>“</w:t>
      </w:r>
      <w:proofErr w:type="spellStart"/>
      <w:r w:rsidRPr="00F3200D">
        <w:rPr>
          <w:lang w:val="en-GB" w:eastAsia="zh-CN"/>
        </w:rPr>
        <w:t>Нorgos</w:t>
      </w:r>
      <w:proofErr w:type="spellEnd"/>
      <w:r w:rsidRPr="00F3200D">
        <w:rPr>
          <w:lang w:val="en-GB" w:eastAsia="zh-CN"/>
        </w:rPr>
        <w:t xml:space="preserve"> Bo Xu Equity Investment Limited Partnership”;</w:t>
      </w:r>
    </w:p>
    <w:p w14:paraId="1E012E8D" w14:textId="77777777" w:rsidR="00F3200D" w:rsidRPr="00F3200D" w:rsidRDefault="00F3200D" w:rsidP="00F3200D">
      <w:pPr>
        <w:pStyle w:val="ListParagraph"/>
        <w:numPr>
          <w:ilvl w:val="0"/>
          <w:numId w:val="14"/>
        </w:numPr>
        <w:tabs>
          <w:tab w:val="clear" w:pos="7413"/>
          <w:tab w:val="num" w:pos="6096"/>
        </w:tabs>
        <w:ind w:left="709"/>
        <w:jc w:val="both"/>
        <w:rPr>
          <w:lang w:val="en-GB" w:eastAsia="zh-CN"/>
        </w:rPr>
      </w:pPr>
      <w:r w:rsidRPr="00F3200D">
        <w:rPr>
          <w:lang w:val="en-GB" w:eastAsia="zh-CN"/>
        </w:rPr>
        <w:t>Joint stock investment company “</w:t>
      </w:r>
      <w:proofErr w:type="spellStart"/>
      <w:r w:rsidRPr="00F3200D">
        <w:rPr>
          <w:lang w:val="en-GB" w:eastAsia="zh-CN"/>
        </w:rPr>
        <w:t>Нorgos</w:t>
      </w:r>
      <w:proofErr w:type="spellEnd"/>
      <w:r w:rsidRPr="00F3200D">
        <w:rPr>
          <w:lang w:val="en-GB" w:eastAsia="zh-CN"/>
        </w:rPr>
        <w:t xml:space="preserve"> Bo Xu Equity Investment Limited Partnership”, 90% shares of which belong to Yan Dongsheng and 10% - to </w:t>
      </w:r>
      <w:r w:rsidRPr="00F3200D">
        <w:rPr>
          <w:lang w:val="en-GB"/>
        </w:rPr>
        <w:t xml:space="preserve">Dai </w:t>
      </w:r>
      <w:proofErr w:type="spellStart"/>
      <w:r w:rsidRPr="00F3200D">
        <w:rPr>
          <w:lang w:val="en-GB"/>
        </w:rPr>
        <w:t>Zhongyong</w:t>
      </w:r>
      <w:proofErr w:type="spellEnd"/>
      <w:r w:rsidRPr="00F3200D">
        <w:rPr>
          <w:lang w:val="en-GB"/>
        </w:rPr>
        <w:t>.</w:t>
      </w:r>
    </w:p>
    <w:p w14:paraId="4756A6AE" w14:textId="77777777" w:rsidR="009A635A" w:rsidRPr="00ED4758" w:rsidRDefault="009A635A" w:rsidP="00BB34F9">
      <w:pPr>
        <w:ind w:firstLine="567"/>
        <w:jc w:val="both"/>
        <w:rPr>
          <w:lang w:val="en-GB"/>
        </w:rPr>
      </w:pPr>
    </w:p>
    <w:p w14:paraId="5B723CC9" w14:textId="77777777" w:rsidR="00F3200D" w:rsidRDefault="00F3200D" w:rsidP="007F608E">
      <w:pPr>
        <w:tabs>
          <w:tab w:val="left" w:pos="3450"/>
        </w:tabs>
        <w:ind w:firstLine="567"/>
        <w:jc w:val="both"/>
        <w:rPr>
          <w:lang w:val="en-GB"/>
        </w:rPr>
      </w:pPr>
      <w:r w:rsidRPr="00F3200D">
        <w:rPr>
          <w:lang w:val="en-GB"/>
        </w:rPr>
        <w:t>The management does not own shares of the Bank.</w:t>
      </w:r>
    </w:p>
    <w:p w14:paraId="3E81A488" w14:textId="2764A748" w:rsidR="007F608E" w:rsidRPr="00ED4758" w:rsidRDefault="007F608E" w:rsidP="007F608E">
      <w:pPr>
        <w:tabs>
          <w:tab w:val="left" w:pos="3450"/>
        </w:tabs>
        <w:ind w:firstLine="567"/>
        <w:jc w:val="both"/>
        <w:rPr>
          <w:bCs/>
          <w:lang w:val="en-GB"/>
        </w:rPr>
      </w:pPr>
      <w:r w:rsidRPr="00ED4758">
        <w:rPr>
          <w:bCs/>
          <w:lang w:val="en-GB"/>
        </w:rPr>
        <w:t>The Bank does not have any restrictions on shareholder participation and voting rights at the General Meeting.</w:t>
      </w:r>
    </w:p>
    <w:p w14:paraId="507A68F3" w14:textId="06856CE3" w:rsidR="00082947" w:rsidRPr="00ED4758" w:rsidRDefault="007F608E" w:rsidP="007F608E">
      <w:pPr>
        <w:tabs>
          <w:tab w:val="left" w:pos="3450"/>
        </w:tabs>
        <w:ind w:firstLine="567"/>
        <w:jc w:val="both"/>
        <w:rPr>
          <w:bCs/>
          <w:lang w:val="en-GB"/>
        </w:rPr>
      </w:pPr>
      <w:r w:rsidRPr="00ED4758">
        <w:rPr>
          <w:bCs/>
          <w:lang w:val="en-GB"/>
        </w:rPr>
        <w:t xml:space="preserve">According to Article 49 of the Law of Ukraine “On Joint Stock Companies”, the powers of the General Meeting of Shareholders of the Bank shall be exercised solely by the </w:t>
      </w:r>
      <w:r w:rsidR="00DA643F">
        <w:rPr>
          <w:bCs/>
          <w:lang w:val="en-GB"/>
        </w:rPr>
        <w:t>sole</w:t>
      </w:r>
      <w:r w:rsidRPr="00ED4758">
        <w:rPr>
          <w:bCs/>
          <w:lang w:val="en-GB"/>
        </w:rPr>
        <w:t xml:space="preserve"> shareholder of the Bank. According to part one of Article 49 of the Law of Ukraine “On Joint Stock Companies”, the provisions of Articles 33-48 of the Law on the procedure for convening and holding general meetings of a joint stock company shall not apply to a </w:t>
      </w:r>
      <w:r w:rsidR="00DA643F">
        <w:rPr>
          <w:bCs/>
          <w:lang w:val="en-GB"/>
        </w:rPr>
        <w:t>sole</w:t>
      </w:r>
      <w:r w:rsidRPr="00ED4758">
        <w:rPr>
          <w:bCs/>
          <w:lang w:val="en-GB"/>
        </w:rPr>
        <w:t>-shareholder company.</w:t>
      </w:r>
      <w:r w:rsidR="00082947" w:rsidRPr="00ED4758">
        <w:rPr>
          <w:bCs/>
          <w:lang w:val="en-GB"/>
        </w:rPr>
        <w:t xml:space="preserve"> </w:t>
      </w:r>
    </w:p>
    <w:p w14:paraId="71579F10" w14:textId="77777777" w:rsidR="00B45100" w:rsidRPr="00ED4758" w:rsidRDefault="00B45100" w:rsidP="00BB34F9">
      <w:pPr>
        <w:ind w:firstLine="567"/>
        <w:jc w:val="both"/>
        <w:rPr>
          <w:i/>
          <w:highlight w:val="yellow"/>
          <w:lang w:val="en-GB"/>
        </w:rPr>
      </w:pPr>
    </w:p>
    <w:p w14:paraId="497E1011" w14:textId="721027BB" w:rsidR="00B45100" w:rsidRPr="00ED4758" w:rsidRDefault="006C6057" w:rsidP="006C6057">
      <w:pPr>
        <w:pStyle w:val="23"/>
        <w:ind w:firstLine="720"/>
        <w:rPr>
          <w:i/>
          <w:iCs/>
          <w:szCs w:val="24"/>
          <w:lang w:val="en-GB"/>
        </w:rPr>
      </w:pPr>
      <w:r w:rsidRPr="00ED4758">
        <w:rPr>
          <w:i/>
          <w:iCs/>
          <w:szCs w:val="24"/>
          <w:lang w:val="en-GB"/>
        </w:rPr>
        <w:t xml:space="preserve">Information on the General Meeting </w:t>
      </w:r>
      <w:r w:rsidR="00F3200D" w:rsidRPr="00ED4758">
        <w:rPr>
          <w:i/>
          <w:iCs/>
          <w:szCs w:val="24"/>
          <w:lang w:val="en-GB"/>
        </w:rPr>
        <w:t>hel</w:t>
      </w:r>
      <w:r w:rsidR="00F3200D">
        <w:rPr>
          <w:i/>
          <w:iCs/>
          <w:szCs w:val="24"/>
          <w:lang w:val="en-GB"/>
        </w:rPr>
        <w:t>d</w:t>
      </w:r>
      <w:r w:rsidRPr="00ED4758">
        <w:rPr>
          <w:i/>
          <w:iCs/>
          <w:szCs w:val="24"/>
          <w:lang w:val="en-GB"/>
        </w:rPr>
        <w:t xml:space="preserve"> and a general description of the decisions taken:</w:t>
      </w:r>
    </w:p>
    <w:p w14:paraId="10482A44" w14:textId="1006E7F9" w:rsidR="006C6057" w:rsidRPr="00ED4758" w:rsidRDefault="006C6057" w:rsidP="006C6057">
      <w:pPr>
        <w:pStyle w:val="23"/>
        <w:ind w:firstLine="720"/>
        <w:rPr>
          <w:szCs w:val="24"/>
          <w:lang w:val="en-GB"/>
        </w:rPr>
      </w:pPr>
      <w:r w:rsidRPr="00ED4758">
        <w:rPr>
          <w:szCs w:val="24"/>
          <w:lang w:val="en-GB"/>
        </w:rPr>
        <w:t>The General Meeting of Shareholders is the supreme governing body of the Bank, which resolves any issues of activit</w:t>
      </w:r>
      <w:r w:rsidR="00F3200D">
        <w:rPr>
          <w:szCs w:val="24"/>
          <w:lang w:val="en-GB"/>
        </w:rPr>
        <w:t>ies of the Bank</w:t>
      </w:r>
      <w:r w:rsidRPr="00ED4758">
        <w:rPr>
          <w:szCs w:val="24"/>
          <w:lang w:val="en-GB"/>
        </w:rPr>
        <w:t>. The exclusive competence of the General Meeting of Shareholders includes:</w:t>
      </w:r>
    </w:p>
    <w:p w14:paraId="3B8A2C53" w14:textId="77777777" w:rsidR="006C6057" w:rsidRPr="00ED4758" w:rsidRDefault="006C6057" w:rsidP="006C6057">
      <w:pPr>
        <w:pStyle w:val="23"/>
        <w:ind w:firstLine="720"/>
        <w:rPr>
          <w:szCs w:val="24"/>
          <w:lang w:val="en-GB"/>
        </w:rPr>
      </w:pPr>
      <w:r w:rsidRPr="00ED4758">
        <w:rPr>
          <w:szCs w:val="24"/>
          <w:lang w:val="en-GB"/>
        </w:rPr>
        <w:t>- defining the main activities of the Bank and approving reports on their implementation;</w:t>
      </w:r>
    </w:p>
    <w:p w14:paraId="3ED339C7" w14:textId="77777777" w:rsidR="006C6057" w:rsidRPr="00ED4758" w:rsidRDefault="006C6057" w:rsidP="006C6057">
      <w:pPr>
        <w:pStyle w:val="23"/>
        <w:ind w:firstLine="720"/>
        <w:rPr>
          <w:szCs w:val="24"/>
          <w:lang w:val="en-GB"/>
        </w:rPr>
      </w:pPr>
      <w:r w:rsidRPr="00ED4758">
        <w:rPr>
          <w:szCs w:val="24"/>
          <w:lang w:val="en-GB"/>
        </w:rPr>
        <w:t>- making decisions regarding the circulation (placement, redemption, cancellation, etc.) of the Bank's shares:</w:t>
      </w:r>
    </w:p>
    <w:p w14:paraId="485C6806" w14:textId="46AF46F0" w:rsidR="006C6057" w:rsidRPr="00ED4758" w:rsidRDefault="006C6057" w:rsidP="006C6057">
      <w:pPr>
        <w:pStyle w:val="23"/>
        <w:ind w:firstLine="720"/>
        <w:rPr>
          <w:szCs w:val="24"/>
          <w:lang w:val="en-GB"/>
        </w:rPr>
      </w:pPr>
      <w:r w:rsidRPr="00ED4758">
        <w:rPr>
          <w:szCs w:val="24"/>
          <w:lang w:val="en-GB"/>
        </w:rPr>
        <w:t xml:space="preserve">- </w:t>
      </w:r>
      <w:r w:rsidR="00F3200D">
        <w:rPr>
          <w:szCs w:val="24"/>
          <w:lang w:val="en-GB"/>
        </w:rPr>
        <w:t>a</w:t>
      </w:r>
      <w:r w:rsidRPr="00ED4758">
        <w:rPr>
          <w:szCs w:val="24"/>
          <w:lang w:val="en-GB"/>
        </w:rPr>
        <w:t xml:space="preserve">mendments to the Bank's </w:t>
      </w:r>
      <w:r w:rsidR="00F3200D">
        <w:rPr>
          <w:szCs w:val="24"/>
          <w:lang w:val="en-GB"/>
        </w:rPr>
        <w:t>Articles of Association</w:t>
      </w:r>
      <w:r w:rsidRPr="00ED4758">
        <w:rPr>
          <w:szCs w:val="24"/>
          <w:lang w:val="en-GB"/>
        </w:rPr>
        <w:t>;</w:t>
      </w:r>
    </w:p>
    <w:p w14:paraId="1C0F9B21" w14:textId="77777777" w:rsidR="006C6057" w:rsidRPr="00ED4758" w:rsidRDefault="006C6057" w:rsidP="006C6057">
      <w:pPr>
        <w:pStyle w:val="23"/>
        <w:ind w:firstLine="720"/>
        <w:rPr>
          <w:szCs w:val="24"/>
          <w:lang w:val="en-GB"/>
        </w:rPr>
      </w:pPr>
      <w:r w:rsidRPr="00ED4758">
        <w:rPr>
          <w:szCs w:val="24"/>
          <w:lang w:val="en-GB"/>
        </w:rPr>
        <w:t>- approval of the annual results of operations, covering of losses and distribution of the Bank's profit taking into account the requirements stipulated by the legislation of Ukraine;</w:t>
      </w:r>
    </w:p>
    <w:p w14:paraId="1DBEF883" w14:textId="77777777" w:rsidR="006C6057" w:rsidRPr="00ED4758" w:rsidRDefault="006C6057" w:rsidP="006C6057">
      <w:pPr>
        <w:pStyle w:val="23"/>
        <w:ind w:firstLine="720"/>
        <w:rPr>
          <w:szCs w:val="24"/>
          <w:lang w:val="en-GB"/>
        </w:rPr>
      </w:pPr>
      <w:r w:rsidRPr="00ED4758">
        <w:rPr>
          <w:szCs w:val="24"/>
          <w:lang w:val="en-GB"/>
        </w:rPr>
        <w:t>- determining the terms of remuneration for the members of the Supervisory Board;</w:t>
      </w:r>
    </w:p>
    <w:p w14:paraId="425083EB" w14:textId="0FC11180" w:rsidR="006C6057" w:rsidRPr="00ED4758" w:rsidRDefault="006C6057" w:rsidP="006C6057">
      <w:pPr>
        <w:pStyle w:val="23"/>
        <w:ind w:firstLine="720"/>
        <w:rPr>
          <w:szCs w:val="24"/>
          <w:lang w:val="en-GB"/>
        </w:rPr>
      </w:pPr>
      <w:r w:rsidRPr="00ED4758">
        <w:rPr>
          <w:szCs w:val="24"/>
          <w:lang w:val="en-GB"/>
        </w:rPr>
        <w:lastRenderedPageBreak/>
        <w:t xml:space="preserve">- reviewing the reports of the Supervisory Board of the Bank, the </w:t>
      </w:r>
      <w:r w:rsidR="00DA643F">
        <w:rPr>
          <w:szCs w:val="24"/>
          <w:lang w:val="en-GB"/>
        </w:rPr>
        <w:t>Executive</w:t>
      </w:r>
      <w:r w:rsidRPr="00ED4758">
        <w:rPr>
          <w:szCs w:val="24"/>
          <w:lang w:val="en-GB"/>
        </w:rPr>
        <w:t xml:space="preserve"> Board of the Bank and approving the measures based on the results of their review;</w:t>
      </w:r>
    </w:p>
    <w:p w14:paraId="25E1AF68" w14:textId="46B830DB" w:rsidR="006C6057" w:rsidRPr="00ED4758" w:rsidRDefault="006C6057" w:rsidP="006C6057">
      <w:pPr>
        <w:pStyle w:val="23"/>
        <w:ind w:firstLine="720"/>
        <w:rPr>
          <w:szCs w:val="24"/>
          <w:lang w:val="en-GB"/>
        </w:rPr>
      </w:pPr>
      <w:r w:rsidRPr="00ED4758">
        <w:rPr>
          <w:szCs w:val="24"/>
          <w:lang w:val="en-GB"/>
        </w:rPr>
        <w:t>- consideration of the external auditor's conclusions and approval of measures based on the results of his/her review;</w:t>
      </w:r>
    </w:p>
    <w:p w14:paraId="3CA10148" w14:textId="3889D645" w:rsidR="006C6057" w:rsidRPr="00ED4758" w:rsidRDefault="006C6057" w:rsidP="006C6057">
      <w:pPr>
        <w:pStyle w:val="23"/>
        <w:ind w:firstLine="720"/>
        <w:rPr>
          <w:szCs w:val="24"/>
          <w:lang w:val="en-GB"/>
        </w:rPr>
      </w:pPr>
      <w:r w:rsidRPr="00ED4758">
        <w:rPr>
          <w:szCs w:val="24"/>
          <w:lang w:val="en-GB"/>
        </w:rPr>
        <w:t xml:space="preserve">- making a decision to </w:t>
      </w:r>
      <w:r w:rsidR="00DA643F">
        <w:rPr>
          <w:szCs w:val="24"/>
          <w:lang w:val="en-GB"/>
        </w:rPr>
        <w:t xml:space="preserve">approve a </w:t>
      </w:r>
      <w:r w:rsidR="007A3921">
        <w:rPr>
          <w:szCs w:val="24"/>
          <w:lang w:val="en-GB"/>
        </w:rPr>
        <w:t>Significant</w:t>
      </w:r>
      <w:r w:rsidRPr="00ED4758">
        <w:rPr>
          <w:szCs w:val="24"/>
          <w:lang w:val="en-GB"/>
        </w:rPr>
        <w:t xml:space="preserve"> transaction and to engage in a </w:t>
      </w:r>
      <w:r w:rsidR="00DA643F">
        <w:rPr>
          <w:szCs w:val="24"/>
          <w:lang w:val="en-GB"/>
        </w:rPr>
        <w:t xml:space="preserve">related-party </w:t>
      </w:r>
      <w:r w:rsidRPr="00ED4758">
        <w:rPr>
          <w:szCs w:val="24"/>
          <w:lang w:val="en-GB"/>
        </w:rPr>
        <w:t xml:space="preserve">transaction in cases </w:t>
      </w:r>
      <w:r w:rsidR="00DA643F">
        <w:rPr>
          <w:szCs w:val="24"/>
          <w:lang w:val="en-GB"/>
        </w:rPr>
        <w:t>stipulated</w:t>
      </w:r>
      <w:r w:rsidRPr="00ED4758">
        <w:rPr>
          <w:szCs w:val="24"/>
          <w:lang w:val="en-GB"/>
        </w:rPr>
        <w:t xml:space="preserve"> by applicable law.</w:t>
      </w:r>
    </w:p>
    <w:p w14:paraId="356F2A18" w14:textId="2C309444" w:rsidR="00D62808" w:rsidRPr="00ED4758" w:rsidRDefault="003A053A" w:rsidP="003A053A">
      <w:pPr>
        <w:pStyle w:val="23"/>
        <w:ind w:firstLine="720"/>
        <w:rPr>
          <w:szCs w:val="24"/>
          <w:lang w:val="en-GB"/>
        </w:rPr>
      </w:pPr>
      <w:r w:rsidRPr="00ED4758">
        <w:rPr>
          <w:szCs w:val="24"/>
          <w:lang w:val="en-GB"/>
        </w:rPr>
        <w:t xml:space="preserve">During the reporting period, </w:t>
      </w:r>
      <w:r w:rsidR="000E256E" w:rsidRPr="00ED4758">
        <w:rPr>
          <w:szCs w:val="24"/>
          <w:lang w:val="en-GB"/>
        </w:rPr>
        <w:t>four</w:t>
      </w:r>
      <w:r w:rsidRPr="00ED4758">
        <w:rPr>
          <w:szCs w:val="24"/>
          <w:lang w:val="en-GB"/>
        </w:rPr>
        <w:t xml:space="preserve"> meetings of the </w:t>
      </w:r>
      <w:r w:rsidR="00DA643F">
        <w:rPr>
          <w:szCs w:val="24"/>
          <w:lang w:val="en-GB"/>
        </w:rPr>
        <w:t>sole</w:t>
      </w:r>
      <w:r w:rsidRPr="00ED4758">
        <w:rPr>
          <w:szCs w:val="24"/>
          <w:lang w:val="en-GB"/>
        </w:rPr>
        <w:t xml:space="preserve"> </w:t>
      </w:r>
      <w:r w:rsidR="000E256E" w:rsidRPr="00ED4758">
        <w:rPr>
          <w:szCs w:val="24"/>
          <w:lang w:val="en-GB"/>
        </w:rPr>
        <w:t>s</w:t>
      </w:r>
      <w:r w:rsidRPr="00ED4758">
        <w:rPr>
          <w:szCs w:val="24"/>
          <w:lang w:val="en-GB"/>
        </w:rPr>
        <w:t>hareholder were held, at which decisions were made on approving the results of the Bank's activit</w:t>
      </w:r>
      <w:r w:rsidR="007A3921">
        <w:rPr>
          <w:szCs w:val="24"/>
          <w:lang w:val="en-GB"/>
        </w:rPr>
        <w:t>ies</w:t>
      </w:r>
      <w:r w:rsidRPr="00ED4758">
        <w:rPr>
          <w:szCs w:val="24"/>
          <w:lang w:val="en-GB"/>
        </w:rPr>
        <w:t xml:space="preserve"> for the previous reporting year, electing the members and the Chairman of the Supervisory Board and determining the terms of agreements to be concluded with the</w:t>
      </w:r>
      <w:r w:rsidR="007A3921">
        <w:rPr>
          <w:szCs w:val="24"/>
          <w:lang w:val="en-GB"/>
        </w:rPr>
        <w:t>m</w:t>
      </w:r>
      <w:r w:rsidRPr="00ED4758">
        <w:rPr>
          <w:szCs w:val="24"/>
          <w:lang w:val="en-GB"/>
        </w:rPr>
        <w:t xml:space="preserve">, </w:t>
      </w:r>
      <w:r w:rsidR="007A3921">
        <w:rPr>
          <w:szCs w:val="24"/>
          <w:lang w:val="en-GB"/>
        </w:rPr>
        <w:t xml:space="preserve">disposal </w:t>
      </w:r>
      <w:r w:rsidRPr="00ED4758">
        <w:rPr>
          <w:szCs w:val="24"/>
          <w:lang w:val="en-GB"/>
        </w:rPr>
        <w:t>of real estate owned by the Bank</w:t>
      </w:r>
      <w:r w:rsidR="000E256E" w:rsidRPr="00ED4758">
        <w:rPr>
          <w:szCs w:val="24"/>
          <w:lang w:val="en-GB"/>
        </w:rPr>
        <w:t>,</w:t>
      </w:r>
      <w:r w:rsidRPr="00ED4758">
        <w:rPr>
          <w:szCs w:val="24"/>
          <w:lang w:val="en-GB"/>
        </w:rPr>
        <w:t xml:space="preserve"> </w:t>
      </w:r>
      <w:r w:rsidR="000E256E" w:rsidRPr="00ED4758">
        <w:rPr>
          <w:szCs w:val="24"/>
          <w:lang w:val="en-GB"/>
        </w:rPr>
        <w:t>etc</w:t>
      </w:r>
      <w:r w:rsidRPr="00ED4758">
        <w:rPr>
          <w:szCs w:val="24"/>
          <w:lang w:val="en-GB"/>
        </w:rPr>
        <w:t>.</w:t>
      </w:r>
    </w:p>
    <w:p w14:paraId="4CE3D2DB" w14:textId="77777777" w:rsidR="00B45100" w:rsidRPr="00ED4758" w:rsidRDefault="00B45100" w:rsidP="00BB34F9">
      <w:pPr>
        <w:ind w:firstLine="567"/>
        <w:jc w:val="both"/>
        <w:rPr>
          <w:i/>
          <w:highlight w:val="yellow"/>
          <w:lang w:val="en-GB"/>
        </w:rPr>
      </w:pPr>
    </w:p>
    <w:p w14:paraId="5B1CEBF5" w14:textId="6CF6C1F2" w:rsidR="00B45100" w:rsidRPr="00ED4758" w:rsidRDefault="000E256E" w:rsidP="00BB34F9">
      <w:pPr>
        <w:ind w:firstLine="567"/>
        <w:jc w:val="both"/>
        <w:rPr>
          <w:i/>
          <w:lang w:val="en-GB"/>
        </w:rPr>
      </w:pPr>
      <w:r w:rsidRPr="00ED4758">
        <w:rPr>
          <w:i/>
          <w:lang w:val="en-GB"/>
        </w:rPr>
        <w:t xml:space="preserve">Information on the Supervisory Board </w:t>
      </w:r>
    </w:p>
    <w:p w14:paraId="4EAC9EC6" w14:textId="5FB589BA" w:rsidR="000E256E" w:rsidRPr="00ED4758" w:rsidRDefault="000E256E" w:rsidP="000E256E">
      <w:pPr>
        <w:ind w:firstLine="567"/>
        <w:jc w:val="both"/>
        <w:rPr>
          <w:lang w:val="en-GB"/>
        </w:rPr>
      </w:pPr>
      <w:r w:rsidRPr="00ED4758">
        <w:rPr>
          <w:lang w:val="en-GB"/>
        </w:rPr>
        <w:t xml:space="preserve">The Supervisory Board is a body that protects the rights of depositors, other creditors and shareholders of the Bank and, within its competence, controls and regulates the activities of the </w:t>
      </w:r>
      <w:r w:rsidR="007A3921">
        <w:rPr>
          <w:lang w:val="en-GB"/>
        </w:rPr>
        <w:t xml:space="preserve">Executive </w:t>
      </w:r>
      <w:r w:rsidRPr="00ED4758">
        <w:rPr>
          <w:lang w:val="en-GB"/>
        </w:rPr>
        <w:t>Board, but does not participate in the day-to-day management of the Bank.</w:t>
      </w:r>
    </w:p>
    <w:p w14:paraId="4F5402C5" w14:textId="52719749" w:rsidR="000E256E" w:rsidRPr="00ED4758" w:rsidRDefault="000E256E" w:rsidP="000E256E">
      <w:pPr>
        <w:ind w:firstLine="567"/>
        <w:jc w:val="both"/>
        <w:rPr>
          <w:lang w:val="en-GB"/>
        </w:rPr>
      </w:pPr>
      <w:r w:rsidRPr="00ED4758">
        <w:rPr>
          <w:lang w:val="en-GB"/>
        </w:rPr>
        <w:t xml:space="preserve">The competence of the Supervisory Board is to resolve the issues stipulated by the Articles of Association, as well as </w:t>
      </w:r>
      <w:r w:rsidR="000971C8" w:rsidRPr="00ED4758">
        <w:rPr>
          <w:lang w:val="en-GB"/>
        </w:rPr>
        <w:t xml:space="preserve">issues which belong to the competence of </w:t>
      </w:r>
      <w:r w:rsidRPr="00ED4758">
        <w:rPr>
          <w:lang w:val="en-GB"/>
        </w:rPr>
        <w:t>the General Meeting of Shareholders,</w:t>
      </w:r>
      <w:r w:rsidR="000971C8" w:rsidRPr="00ED4758">
        <w:rPr>
          <w:lang w:val="en-GB"/>
        </w:rPr>
        <w:t xml:space="preserve"> but</w:t>
      </w:r>
      <w:r w:rsidRPr="00ED4758">
        <w:rPr>
          <w:lang w:val="en-GB"/>
        </w:rPr>
        <w:t xml:space="preserve"> which have been referred to the Supervisory Board for decision. The exclusive competence of the Supervisory Board</w:t>
      </w:r>
      <w:r w:rsidR="000971C8" w:rsidRPr="00ED4758">
        <w:rPr>
          <w:lang w:val="en-GB"/>
        </w:rPr>
        <w:t xml:space="preserve"> of the Bank</w:t>
      </w:r>
      <w:r w:rsidRPr="00ED4758">
        <w:rPr>
          <w:lang w:val="en-GB"/>
        </w:rPr>
        <w:t xml:space="preserve"> includes the following:</w:t>
      </w:r>
    </w:p>
    <w:p w14:paraId="64FB2E89" w14:textId="77777777" w:rsidR="000E256E" w:rsidRPr="00ED4758" w:rsidRDefault="000E256E" w:rsidP="000E256E">
      <w:pPr>
        <w:ind w:firstLine="567"/>
        <w:jc w:val="both"/>
        <w:rPr>
          <w:lang w:val="en-GB"/>
        </w:rPr>
      </w:pPr>
      <w:r w:rsidRPr="00ED4758">
        <w:rPr>
          <w:lang w:val="en-GB"/>
        </w:rPr>
        <w:t>- approval of the Bank's development strategy in accordance with the main activities defined by the General Meeting of Shareholders of the Bank;</w:t>
      </w:r>
    </w:p>
    <w:p w14:paraId="133517FC" w14:textId="2A46BDA3" w:rsidR="000E256E" w:rsidRPr="00ED4758" w:rsidRDefault="000E256E" w:rsidP="000E256E">
      <w:pPr>
        <w:ind w:firstLine="567"/>
        <w:jc w:val="both"/>
        <w:rPr>
          <w:lang w:val="en-GB"/>
        </w:rPr>
      </w:pPr>
      <w:r w:rsidRPr="00ED4758">
        <w:rPr>
          <w:lang w:val="en-GB"/>
        </w:rPr>
        <w:t xml:space="preserve">- approval of the Bank's budget, including the budget of the internal audit </w:t>
      </w:r>
      <w:r w:rsidR="005A053A" w:rsidRPr="00ED4758">
        <w:rPr>
          <w:lang w:val="en-GB"/>
        </w:rPr>
        <w:t>department</w:t>
      </w:r>
      <w:r w:rsidRPr="00ED4758">
        <w:rPr>
          <w:lang w:val="en-GB"/>
        </w:rPr>
        <w:t>, and the business plan of the Bank;</w:t>
      </w:r>
    </w:p>
    <w:p w14:paraId="06BA22D1" w14:textId="47A8A1C5" w:rsidR="000E256E" w:rsidRPr="00ED4758" w:rsidRDefault="000E256E" w:rsidP="000E256E">
      <w:pPr>
        <w:ind w:firstLine="567"/>
        <w:jc w:val="both"/>
        <w:rPr>
          <w:lang w:val="en-GB"/>
        </w:rPr>
      </w:pPr>
      <w:r w:rsidRPr="00ED4758">
        <w:rPr>
          <w:lang w:val="en-GB"/>
        </w:rPr>
        <w:t xml:space="preserve">- definition and approval of </w:t>
      </w:r>
      <w:r w:rsidR="005A053A" w:rsidRPr="00ED4758">
        <w:rPr>
          <w:lang w:val="en-GB"/>
        </w:rPr>
        <w:t xml:space="preserve">the </w:t>
      </w:r>
      <w:r w:rsidRPr="00ED4758">
        <w:rPr>
          <w:lang w:val="en-GB"/>
        </w:rPr>
        <w:t>risk management strateg</w:t>
      </w:r>
      <w:r w:rsidR="005A053A" w:rsidRPr="00ED4758">
        <w:rPr>
          <w:lang w:val="en-GB"/>
        </w:rPr>
        <w:t>y</w:t>
      </w:r>
      <w:r w:rsidRPr="00ED4758">
        <w:rPr>
          <w:lang w:val="en-GB"/>
        </w:rPr>
        <w:t xml:space="preserve"> and polic</w:t>
      </w:r>
      <w:r w:rsidR="005A053A" w:rsidRPr="00ED4758">
        <w:rPr>
          <w:lang w:val="en-GB"/>
        </w:rPr>
        <w:t>y</w:t>
      </w:r>
      <w:r w:rsidRPr="00ED4758">
        <w:rPr>
          <w:lang w:val="en-GB"/>
        </w:rPr>
        <w:t>, procedure for managing them, as well as the list of risks</w:t>
      </w:r>
      <w:r w:rsidR="005A053A" w:rsidRPr="00ED4758">
        <w:rPr>
          <w:lang w:val="en-GB"/>
        </w:rPr>
        <w:t xml:space="preserve"> and</w:t>
      </w:r>
      <w:r w:rsidRPr="00ED4758">
        <w:rPr>
          <w:lang w:val="en-GB"/>
        </w:rPr>
        <w:t xml:space="preserve"> their margi</w:t>
      </w:r>
      <w:r w:rsidR="005A053A" w:rsidRPr="00ED4758">
        <w:rPr>
          <w:lang w:val="en-GB"/>
        </w:rPr>
        <w:t>ns</w:t>
      </w:r>
      <w:r w:rsidRPr="00ED4758">
        <w:rPr>
          <w:lang w:val="en-GB"/>
        </w:rPr>
        <w:t>;</w:t>
      </w:r>
    </w:p>
    <w:p w14:paraId="11140EB5" w14:textId="02A2EAF0" w:rsidR="005A053A" w:rsidRPr="00ED4758" w:rsidRDefault="00232DF3" w:rsidP="0022284B">
      <w:pPr>
        <w:pStyle w:val="ListParagraph"/>
        <w:numPr>
          <w:ilvl w:val="0"/>
          <w:numId w:val="1"/>
        </w:numPr>
        <w:tabs>
          <w:tab w:val="clear" w:pos="1128"/>
          <w:tab w:val="num" w:pos="284"/>
        </w:tabs>
        <w:ind w:left="0" w:firstLine="567"/>
        <w:jc w:val="both"/>
        <w:rPr>
          <w:lang w:val="en-GB"/>
        </w:rPr>
      </w:pPr>
      <w:r w:rsidRPr="00ED4758">
        <w:rPr>
          <w:lang w:val="en-GB"/>
        </w:rPr>
        <w:t>e</w:t>
      </w:r>
      <w:r w:rsidR="005A053A" w:rsidRPr="00ED4758">
        <w:rPr>
          <w:lang w:val="en-GB"/>
        </w:rPr>
        <w:t>nsuring the functioning of the internal control system of the Bank and control over its efficiency;</w:t>
      </w:r>
    </w:p>
    <w:p w14:paraId="60F483D4" w14:textId="6DB6387A" w:rsidR="00B45100" w:rsidRPr="00ED4758" w:rsidRDefault="00232DF3" w:rsidP="0022284B">
      <w:pPr>
        <w:pStyle w:val="ListParagraph"/>
        <w:numPr>
          <w:ilvl w:val="0"/>
          <w:numId w:val="1"/>
        </w:numPr>
        <w:tabs>
          <w:tab w:val="clear" w:pos="1128"/>
          <w:tab w:val="num" w:pos="284"/>
        </w:tabs>
        <w:ind w:left="0" w:firstLine="567"/>
        <w:jc w:val="both"/>
        <w:rPr>
          <w:lang w:val="en-GB"/>
        </w:rPr>
      </w:pPr>
      <w:r w:rsidRPr="00ED4758">
        <w:rPr>
          <w:lang w:val="en-GB"/>
        </w:rPr>
        <w:t>a</w:t>
      </w:r>
      <w:r w:rsidR="005A053A" w:rsidRPr="00ED4758">
        <w:rPr>
          <w:lang w:val="en-GB"/>
        </w:rPr>
        <w:t xml:space="preserve">ppointment and dismissal of the </w:t>
      </w:r>
      <w:r w:rsidR="007A3921">
        <w:rPr>
          <w:lang w:val="en-GB"/>
        </w:rPr>
        <w:t>chairman</w:t>
      </w:r>
      <w:r w:rsidR="005A053A" w:rsidRPr="00ED4758">
        <w:rPr>
          <w:lang w:val="en-GB"/>
        </w:rPr>
        <w:t xml:space="preserve"> and members of the Executive Board, head of the internal audit department, employee responsible for financial monitoring, and their remuneration; </w:t>
      </w:r>
    </w:p>
    <w:p w14:paraId="1F7251F4" w14:textId="67B982FB" w:rsidR="00B45100" w:rsidRPr="00ED4758" w:rsidRDefault="00232DF3" w:rsidP="0022284B">
      <w:pPr>
        <w:pStyle w:val="ListParagraph"/>
        <w:numPr>
          <w:ilvl w:val="0"/>
          <w:numId w:val="1"/>
        </w:numPr>
        <w:tabs>
          <w:tab w:val="clear" w:pos="1128"/>
          <w:tab w:val="num" w:pos="284"/>
        </w:tabs>
        <w:ind w:left="0" w:firstLine="567"/>
        <w:jc w:val="both"/>
        <w:rPr>
          <w:lang w:val="en-GB"/>
        </w:rPr>
      </w:pPr>
      <w:r w:rsidRPr="00ED4758">
        <w:rPr>
          <w:lang w:val="en-GB"/>
        </w:rPr>
        <w:t>c</w:t>
      </w:r>
      <w:r w:rsidR="005A053A" w:rsidRPr="00ED4758">
        <w:rPr>
          <w:lang w:val="en-GB"/>
        </w:rPr>
        <w:t xml:space="preserve">hoosing </w:t>
      </w:r>
      <w:r w:rsidR="007A3921">
        <w:rPr>
          <w:lang w:val="en-GB"/>
        </w:rPr>
        <w:t xml:space="preserve">an </w:t>
      </w:r>
      <w:r w:rsidR="005A053A" w:rsidRPr="00ED4758">
        <w:rPr>
          <w:lang w:val="en-GB"/>
        </w:rPr>
        <w:t xml:space="preserve">audit firm for external audit, </w:t>
      </w:r>
      <w:r w:rsidR="007A3921" w:rsidRPr="00ED4758">
        <w:rPr>
          <w:lang w:val="en-GB"/>
        </w:rPr>
        <w:t>approval</w:t>
      </w:r>
      <w:r w:rsidR="005A053A" w:rsidRPr="00ED4758">
        <w:rPr>
          <w:lang w:val="en-GB"/>
        </w:rPr>
        <w:t xml:space="preserve"> of the contract terms with such firm, determination of amount to be paid for the services</w:t>
      </w:r>
      <w:r w:rsidRPr="00ED4758">
        <w:rPr>
          <w:lang w:val="en-GB"/>
        </w:rPr>
        <w:t>, review of the report</w:t>
      </w:r>
      <w:r w:rsidR="005A053A" w:rsidRPr="00ED4758">
        <w:rPr>
          <w:lang w:val="en-GB"/>
        </w:rPr>
        <w:t xml:space="preserve"> </w:t>
      </w:r>
      <w:r w:rsidRPr="00ED4758">
        <w:rPr>
          <w:lang w:val="en-GB"/>
        </w:rPr>
        <w:t xml:space="preserve">of the external auditor and making recommendations for the General Meeting of Shareholders regarding decision on </w:t>
      </w:r>
      <w:r w:rsidR="007A3921">
        <w:rPr>
          <w:lang w:val="en-GB"/>
        </w:rPr>
        <w:t xml:space="preserve">the </w:t>
      </w:r>
      <w:r w:rsidRPr="00ED4758">
        <w:rPr>
          <w:lang w:val="en-GB"/>
        </w:rPr>
        <w:t xml:space="preserve">report; </w:t>
      </w:r>
    </w:p>
    <w:p w14:paraId="60AA2789" w14:textId="014A42EA" w:rsidR="00232DF3" w:rsidRPr="00ED4758" w:rsidRDefault="00232DF3" w:rsidP="0022284B">
      <w:pPr>
        <w:pStyle w:val="ListParagraph"/>
        <w:numPr>
          <w:ilvl w:val="0"/>
          <w:numId w:val="1"/>
        </w:numPr>
        <w:tabs>
          <w:tab w:val="clear" w:pos="1128"/>
          <w:tab w:val="num" w:pos="284"/>
        </w:tabs>
        <w:ind w:left="0" w:firstLine="567"/>
        <w:jc w:val="both"/>
        <w:rPr>
          <w:lang w:val="en-GB"/>
        </w:rPr>
      </w:pPr>
      <w:r w:rsidRPr="00ED4758">
        <w:rPr>
          <w:lang w:val="en-GB"/>
        </w:rPr>
        <w:t xml:space="preserve">making decisions on </w:t>
      </w:r>
      <w:r w:rsidR="007A3921">
        <w:rPr>
          <w:lang w:val="en-GB"/>
        </w:rPr>
        <w:t>S</w:t>
      </w:r>
      <w:r w:rsidRPr="00ED4758">
        <w:rPr>
          <w:lang w:val="en-GB"/>
        </w:rPr>
        <w:t>ignificant transactions, if the market value of the assets or services subject to the transaction exceed 10 (ten)% but is less than 25</w:t>
      </w:r>
      <w:r w:rsidR="007A3921">
        <w:rPr>
          <w:lang w:val="en-GB"/>
        </w:rPr>
        <w:t xml:space="preserve"> </w:t>
      </w:r>
      <w:r w:rsidRPr="00ED4758">
        <w:rPr>
          <w:lang w:val="en-GB"/>
        </w:rPr>
        <w:t>(</w:t>
      </w:r>
      <w:r w:rsidR="007A3921" w:rsidRPr="00ED4758">
        <w:rPr>
          <w:lang w:val="en-GB"/>
        </w:rPr>
        <w:t>twenty-five) %</w:t>
      </w:r>
      <w:r w:rsidRPr="00ED4758">
        <w:rPr>
          <w:lang w:val="en-GB"/>
        </w:rPr>
        <w:t xml:space="preserve"> of the value of the Bank’s assets </w:t>
      </w:r>
      <w:r w:rsidR="007A3921" w:rsidRPr="00ED4758">
        <w:rPr>
          <w:lang w:val="en-GB"/>
        </w:rPr>
        <w:t>according</w:t>
      </w:r>
      <w:r w:rsidRPr="00ED4758">
        <w:rPr>
          <w:lang w:val="en-GB"/>
        </w:rPr>
        <w:t xml:space="preserve"> to the latest annual report.</w:t>
      </w:r>
    </w:p>
    <w:p w14:paraId="56CDA1D2" w14:textId="5819EA29" w:rsidR="00B45100" w:rsidRPr="00ED4758" w:rsidRDefault="00303FB0" w:rsidP="0022284B">
      <w:pPr>
        <w:pStyle w:val="ListParagraph"/>
        <w:numPr>
          <w:ilvl w:val="0"/>
          <w:numId w:val="1"/>
        </w:numPr>
        <w:tabs>
          <w:tab w:val="clear" w:pos="1128"/>
          <w:tab w:val="num" w:pos="284"/>
        </w:tabs>
        <w:ind w:left="0" w:firstLine="567"/>
        <w:jc w:val="both"/>
        <w:rPr>
          <w:lang w:val="en-GB"/>
        </w:rPr>
      </w:pPr>
      <w:r w:rsidRPr="00ED4758">
        <w:rPr>
          <w:lang w:val="en-GB"/>
        </w:rPr>
        <w:t>a</w:t>
      </w:r>
      <w:r w:rsidR="00232DF3" w:rsidRPr="00ED4758">
        <w:rPr>
          <w:lang w:val="en-GB"/>
        </w:rPr>
        <w:t xml:space="preserve">pproval of the market value of the Bank’s assets in cases stipulated by the current legislation; </w:t>
      </w:r>
    </w:p>
    <w:p w14:paraId="29C5DCEB" w14:textId="38E5977E" w:rsidR="00B45100" w:rsidRPr="00ED4758" w:rsidRDefault="00232DF3" w:rsidP="0022284B">
      <w:pPr>
        <w:pStyle w:val="ListParagraph"/>
        <w:numPr>
          <w:ilvl w:val="0"/>
          <w:numId w:val="1"/>
        </w:numPr>
        <w:tabs>
          <w:tab w:val="clear" w:pos="1128"/>
          <w:tab w:val="num" w:pos="284"/>
        </w:tabs>
        <w:ind w:left="0" w:firstLine="567"/>
        <w:jc w:val="both"/>
        <w:rPr>
          <w:lang w:val="en-GB"/>
        </w:rPr>
      </w:pPr>
      <w:r w:rsidRPr="00ED4758">
        <w:rPr>
          <w:lang w:val="en-GB"/>
        </w:rPr>
        <w:t xml:space="preserve">making decisions on the choice of appraiser of </w:t>
      </w:r>
      <w:r w:rsidR="007A3921">
        <w:rPr>
          <w:lang w:val="en-GB"/>
        </w:rPr>
        <w:t xml:space="preserve">the </w:t>
      </w:r>
      <w:r w:rsidRPr="00ED4758">
        <w:rPr>
          <w:lang w:val="en-GB"/>
        </w:rPr>
        <w:t xml:space="preserve">assets </w:t>
      </w:r>
      <w:r w:rsidR="007A3921">
        <w:rPr>
          <w:lang w:val="en-GB"/>
        </w:rPr>
        <w:t xml:space="preserve">of the Bank </w:t>
      </w:r>
      <w:r w:rsidRPr="00ED4758">
        <w:rPr>
          <w:lang w:val="en-GB"/>
        </w:rPr>
        <w:t xml:space="preserve">and approval of terms of contracts to be concluded </w:t>
      </w:r>
      <w:r w:rsidR="00303FB0" w:rsidRPr="00ED4758">
        <w:rPr>
          <w:lang w:val="en-GB"/>
        </w:rPr>
        <w:t xml:space="preserve">with the </w:t>
      </w:r>
      <w:r w:rsidR="007A3921" w:rsidRPr="00ED4758">
        <w:rPr>
          <w:lang w:val="en-GB"/>
        </w:rPr>
        <w:t>appraiser</w:t>
      </w:r>
      <w:r w:rsidR="00303FB0" w:rsidRPr="00ED4758">
        <w:rPr>
          <w:lang w:val="en-GB"/>
        </w:rPr>
        <w:t xml:space="preserve">, determination of amount to be paid for the services; </w:t>
      </w:r>
    </w:p>
    <w:p w14:paraId="26B8DEDE" w14:textId="79AC67C0" w:rsidR="00B45100" w:rsidRPr="00ED4758" w:rsidRDefault="00303FB0" w:rsidP="0022284B">
      <w:pPr>
        <w:pStyle w:val="ListParagraph"/>
        <w:numPr>
          <w:ilvl w:val="0"/>
          <w:numId w:val="1"/>
        </w:numPr>
        <w:tabs>
          <w:tab w:val="clear" w:pos="1128"/>
          <w:tab w:val="num" w:pos="284"/>
        </w:tabs>
        <w:ind w:left="0" w:firstLine="567"/>
        <w:jc w:val="both"/>
        <w:rPr>
          <w:lang w:val="en-GB"/>
        </w:rPr>
      </w:pPr>
      <w:r w:rsidRPr="00ED4758">
        <w:rPr>
          <w:lang w:val="en-GB"/>
        </w:rPr>
        <w:t xml:space="preserve">review of the report of the Executive Board of the Bank and approving measures upon </w:t>
      </w:r>
      <w:r w:rsidR="007A3921">
        <w:rPr>
          <w:lang w:val="en-GB"/>
        </w:rPr>
        <w:t>such</w:t>
      </w:r>
      <w:r w:rsidRPr="00ED4758">
        <w:rPr>
          <w:lang w:val="en-GB"/>
        </w:rPr>
        <w:t xml:space="preserve"> review</w:t>
      </w:r>
      <w:r w:rsidR="00B45100" w:rsidRPr="00ED4758">
        <w:rPr>
          <w:lang w:val="en-GB"/>
        </w:rPr>
        <w:t>;</w:t>
      </w:r>
    </w:p>
    <w:p w14:paraId="1D4AA6AB" w14:textId="35896664" w:rsidR="00B45100" w:rsidRPr="00ED4758" w:rsidRDefault="00303FB0" w:rsidP="0022284B">
      <w:pPr>
        <w:pStyle w:val="ListParagraph"/>
        <w:numPr>
          <w:ilvl w:val="0"/>
          <w:numId w:val="1"/>
        </w:numPr>
        <w:tabs>
          <w:tab w:val="clear" w:pos="1128"/>
          <w:tab w:val="num" w:pos="284"/>
        </w:tabs>
        <w:ind w:left="0" w:firstLine="567"/>
        <w:jc w:val="both"/>
        <w:rPr>
          <w:lang w:val="en-GB"/>
        </w:rPr>
      </w:pPr>
      <w:r w:rsidRPr="00ED4758">
        <w:rPr>
          <w:lang w:val="en-GB"/>
        </w:rPr>
        <w:t>other</w:t>
      </w:r>
      <w:r w:rsidR="00B45100" w:rsidRPr="00ED4758">
        <w:rPr>
          <w:lang w:val="en-GB"/>
        </w:rPr>
        <w:t>.</w:t>
      </w:r>
    </w:p>
    <w:p w14:paraId="53E8B48E" w14:textId="77777777" w:rsidR="00B45100" w:rsidRPr="00ED4758" w:rsidRDefault="00B45100" w:rsidP="00BB34F9">
      <w:pPr>
        <w:jc w:val="both"/>
        <w:rPr>
          <w:i/>
          <w:highlight w:val="yellow"/>
          <w:u w:val="single"/>
          <w:lang w:val="en-GB"/>
        </w:rPr>
      </w:pPr>
    </w:p>
    <w:p w14:paraId="21637B89" w14:textId="43D468ED" w:rsidR="00B45100" w:rsidRPr="00ED4758" w:rsidRDefault="00303FB0" w:rsidP="00303FB0">
      <w:pPr>
        <w:ind w:firstLine="720"/>
        <w:jc w:val="both"/>
        <w:rPr>
          <w:i/>
          <w:iCs/>
          <w:u w:val="single"/>
          <w:lang w:val="en-GB"/>
        </w:rPr>
      </w:pPr>
      <w:r w:rsidRPr="00ED4758">
        <w:rPr>
          <w:i/>
          <w:iCs/>
          <w:u w:val="single"/>
          <w:lang w:val="en-GB"/>
        </w:rPr>
        <w:t>The composition of the Supervisory Board as of 01.01.2020</w:t>
      </w:r>
    </w:p>
    <w:p w14:paraId="5160D96A" w14:textId="44A6CDC2" w:rsidR="00303FB0" w:rsidRPr="00ED4758" w:rsidRDefault="00303FB0" w:rsidP="00303FB0">
      <w:pPr>
        <w:ind w:firstLine="720"/>
        <w:jc w:val="both"/>
        <w:rPr>
          <w:lang w:val="en-GB"/>
        </w:rPr>
      </w:pPr>
      <w:r w:rsidRPr="00ED4758">
        <w:rPr>
          <w:lang w:val="en-GB"/>
        </w:rPr>
        <w:t xml:space="preserve">The members of the Supervisory Board are elected/appointed by the General Meeting for a term not exceeding three years. </w:t>
      </w:r>
      <w:r w:rsidR="007A3921">
        <w:rPr>
          <w:lang w:val="en-GB"/>
        </w:rPr>
        <w:t>The m</w:t>
      </w:r>
      <w:r w:rsidRPr="00ED4758">
        <w:rPr>
          <w:lang w:val="en-GB"/>
        </w:rPr>
        <w:t xml:space="preserve">embers of the Supervisory Board may be re-elected indefinitely. Upon election, Bank shall conclude employment </w:t>
      </w:r>
      <w:r w:rsidR="00063985">
        <w:rPr>
          <w:lang w:val="en-GB"/>
        </w:rPr>
        <w:t>agreements</w:t>
      </w:r>
      <w:r w:rsidRPr="00ED4758">
        <w:rPr>
          <w:lang w:val="en-GB"/>
        </w:rPr>
        <w:t xml:space="preserve"> or civil contract</w:t>
      </w:r>
      <w:r w:rsidR="007A3921">
        <w:rPr>
          <w:lang w:val="en-GB"/>
        </w:rPr>
        <w:t>s</w:t>
      </w:r>
      <w:r w:rsidRPr="00ED4758">
        <w:rPr>
          <w:lang w:val="en-GB"/>
        </w:rPr>
        <w:t xml:space="preserve"> with the members of the Supervisory Board of the Bank, which shall provide for the rights, obligations, liability of the </w:t>
      </w:r>
      <w:r w:rsidRPr="00ED4758">
        <w:rPr>
          <w:lang w:val="en-GB"/>
        </w:rPr>
        <w:lastRenderedPageBreak/>
        <w:t xml:space="preserve">parties, etc. The powers of the </w:t>
      </w:r>
      <w:r w:rsidR="007A3921">
        <w:rPr>
          <w:lang w:val="en-GB"/>
        </w:rPr>
        <w:t>Chairman</w:t>
      </w:r>
      <w:r w:rsidRPr="00ED4758">
        <w:rPr>
          <w:lang w:val="en-GB"/>
        </w:rPr>
        <w:t xml:space="preserve"> of the Supervisory Board, the Deputy </w:t>
      </w:r>
      <w:r w:rsidR="007A3921">
        <w:rPr>
          <w:lang w:val="en-GB"/>
        </w:rPr>
        <w:t>Chairman</w:t>
      </w:r>
      <w:r w:rsidRPr="00ED4758">
        <w:rPr>
          <w:lang w:val="en-GB"/>
        </w:rPr>
        <w:t xml:space="preserve"> of the Supervisory Board and other members of the Supervisory Board may be early terminated by a respective decision of the General Meeting with the simultaneous election of new members of the Supervisory Board. </w:t>
      </w:r>
      <w:r w:rsidR="00F77ED2" w:rsidRPr="00ED4758">
        <w:rPr>
          <w:lang w:val="en-GB"/>
        </w:rPr>
        <w:t>In absence of a</w:t>
      </w:r>
      <w:r w:rsidRPr="00ED4758">
        <w:rPr>
          <w:lang w:val="en-GB"/>
        </w:rPr>
        <w:t xml:space="preserve"> decision of the General Meeting, the powers of the </w:t>
      </w:r>
      <w:r w:rsidR="007A3921">
        <w:rPr>
          <w:lang w:val="en-GB"/>
        </w:rPr>
        <w:t>Chairman</w:t>
      </w:r>
      <w:r w:rsidRPr="00ED4758">
        <w:rPr>
          <w:lang w:val="en-GB"/>
        </w:rPr>
        <w:t xml:space="preserve"> of the Supervisory Board, the Deputy </w:t>
      </w:r>
      <w:r w:rsidR="007A3921">
        <w:rPr>
          <w:lang w:val="en-GB"/>
        </w:rPr>
        <w:t>Chairman</w:t>
      </w:r>
      <w:r w:rsidRPr="00ED4758">
        <w:rPr>
          <w:lang w:val="en-GB"/>
        </w:rPr>
        <w:t xml:space="preserve"> of the Supervisory Board and </w:t>
      </w:r>
      <w:r w:rsidR="00F77ED2" w:rsidRPr="00ED4758">
        <w:rPr>
          <w:lang w:val="en-GB"/>
        </w:rPr>
        <w:t>other</w:t>
      </w:r>
      <w:r w:rsidRPr="00ED4758">
        <w:rPr>
          <w:lang w:val="en-GB"/>
        </w:rPr>
        <w:t xml:space="preserve"> member</w:t>
      </w:r>
      <w:r w:rsidR="00F77ED2" w:rsidRPr="00ED4758">
        <w:rPr>
          <w:lang w:val="en-GB"/>
        </w:rPr>
        <w:t>s</w:t>
      </w:r>
      <w:r w:rsidRPr="00ED4758">
        <w:rPr>
          <w:lang w:val="en-GB"/>
        </w:rPr>
        <w:t xml:space="preserve"> of the Supervisory Board shall be terminated:</w:t>
      </w:r>
    </w:p>
    <w:p w14:paraId="475F20A9" w14:textId="77777777" w:rsidR="00F77ED2" w:rsidRPr="00ED4758" w:rsidRDefault="00F77ED2" w:rsidP="0022284B">
      <w:pPr>
        <w:pStyle w:val="ListParagraph"/>
        <w:numPr>
          <w:ilvl w:val="0"/>
          <w:numId w:val="9"/>
        </w:numPr>
        <w:jc w:val="both"/>
        <w:rPr>
          <w:lang w:val="en-GB"/>
        </w:rPr>
      </w:pPr>
      <w:r w:rsidRPr="00ED4758">
        <w:rPr>
          <w:lang w:val="en-GB"/>
        </w:rPr>
        <w:t>at his/her request, subject to two weeks written notice thereof;</w:t>
      </w:r>
    </w:p>
    <w:p w14:paraId="0D33A05E" w14:textId="0233204A" w:rsidR="00F77ED2" w:rsidRPr="00ED4758" w:rsidRDefault="00F77ED2" w:rsidP="0022284B">
      <w:pPr>
        <w:pStyle w:val="ListParagraph"/>
        <w:numPr>
          <w:ilvl w:val="0"/>
          <w:numId w:val="9"/>
        </w:numPr>
        <w:jc w:val="both"/>
        <w:rPr>
          <w:lang w:val="en-GB"/>
        </w:rPr>
      </w:pPr>
      <w:r w:rsidRPr="00ED4758">
        <w:rPr>
          <w:lang w:val="en-GB"/>
        </w:rPr>
        <w:t xml:space="preserve">in case a person is unable to </w:t>
      </w:r>
      <w:r w:rsidR="007A3921" w:rsidRPr="00ED4758">
        <w:rPr>
          <w:lang w:val="en-GB"/>
        </w:rPr>
        <w:t>fulfil</w:t>
      </w:r>
      <w:r w:rsidRPr="00ED4758">
        <w:rPr>
          <w:lang w:val="en-GB"/>
        </w:rPr>
        <w:t xml:space="preserve"> the duties of a member of the Supervisory Board for </w:t>
      </w:r>
      <w:r w:rsidR="007A3921">
        <w:rPr>
          <w:lang w:val="en-GB"/>
        </w:rPr>
        <w:t xml:space="preserve">the </w:t>
      </w:r>
      <w:r w:rsidRPr="00ED4758">
        <w:rPr>
          <w:lang w:val="en-GB"/>
        </w:rPr>
        <w:t>reasons of ill health;</w:t>
      </w:r>
    </w:p>
    <w:p w14:paraId="109BE774" w14:textId="3F7C7735" w:rsidR="00F77ED2" w:rsidRPr="00ED4758" w:rsidRDefault="00F77ED2" w:rsidP="0022284B">
      <w:pPr>
        <w:pStyle w:val="ListParagraph"/>
        <w:numPr>
          <w:ilvl w:val="0"/>
          <w:numId w:val="9"/>
        </w:numPr>
        <w:jc w:val="both"/>
        <w:rPr>
          <w:lang w:val="en-GB"/>
        </w:rPr>
      </w:pPr>
      <w:r w:rsidRPr="00ED4758">
        <w:rPr>
          <w:lang w:val="en-GB"/>
        </w:rPr>
        <w:t xml:space="preserve">in case of the entry into force of a sentence or </w:t>
      </w:r>
      <w:r w:rsidR="007A3921">
        <w:rPr>
          <w:lang w:val="en-GB"/>
        </w:rPr>
        <w:t xml:space="preserve">a court </w:t>
      </w:r>
      <w:r w:rsidRPr="00ED4758">
        <w:rPr>
          <w:lang w:val="en-GB"/>
        </w:rPr>
        <w:t>decision whereby a person is sentenced to punishment, which excludes the possibility of performing the duties of a member of the Supervisory Board;</w:t>
      </w:r>
    </w:p>
    <w:p w14:paraId="3D0C6A7C" w14:textId="0F6508D0" w:rsidR="00F77ED2" w:rsidRPr="00ED4758" w:rsidRDefault="00F77ED2" w:rsidP="0022284B">
      <w:pPr>
        <w:pStyle w:val="ListParagraph"/>
        <w:numPr>
          <w:ilvl w:val="0"/>
          <w:numId w:val="9"/>
        </w:numPr>
        <w:jc w:val="both"/>
        <w:rPr>
          <w:lang w:val="en-GB"/>
        </w:rPr>
      </w:pPr>
      <w:r w:rsidRPr="00ED4758">
        <w:rPr>
          <w:lang w:val="en-GB"/>
        </w:rPr>
        <w:t>in the case of death, recognition as incapacitated, limited by capacity, missing or dead;</w:t>
      </w:r>
    </w:p>
    <w:p w14:paraId="4E4E5423" w14:textId="77777777" w:rsidR="00912146" w:rsidRPr="00ED4758" w:rsidRDefault="00F77ED2" w:rsidP="0022284B">
      <w:pPr>
        <w:pStyle w:val="ListParagraph"/>
        <w:numPr>
          <w:ilvl w:val="0"/>
          <w:numId w:val="9"/>
        </w:numPr>
        <w:jc w:val="both"/>
        <w:rPr>
          <w:lang w:val="en-GB"/>
        </w:rPr>
      </w:pPr>
      <w:r w:rsidRPr="00ED4758">
        <w:rPr>
          <w:lang w:val="en-GB"/>
        </w:rPr>
        <w:t>in case the Bank receives a written notice of replacement of a member of the Supervisory Board who is a representative of the Shareholder.</w:t>
      </w:r>
    </w:p>
    <w:p w14:paraId="3D4D8785" w14:textId="77777777" w:rsidR="00B45100" w:rsidRPr="00ED4758" w:rsidRDefault="00B45100" w:rsidP="00BB34F9">
      <w:pPr>
        <w:ind w:firstLine="709"/>
        <w:jc w:val="both"/>
        <w:rPr>
          <w:highlight w:val="yellow"/>
          <w:lang w:val="en-GB"/>
        </w:rPr>
      </w:pPr>
    </w:p>
    <w:p w14:paraId="6254E01E" w14:textId="7898029A" w:rsidR="00B45100" w:rsidRPr="00ED4758" w:rsidRDefault="00912146" w:rsidP="00BB34F9">
      <w:pPr>
        <w:ind w:firstLine="709"/>
        <w:jc w:val="both"/>
        <w:rPr>
          <w:lang w:val="en-GB"/>
        </w:rPr>
      </w:pPr>
      <w:r w:rsidRPr="00ED4758">
        <w:rPr>
          <w:lang w:val="en-GB"/>
        </w:rPr>
        <w:t xml:space="preserve">The </w:t>
      </w:r>
      <w:r w:rsidR="007A3921">
        <w:rPr>
          <w:lang w:val="en-GB"/>
        </w:rPr>
        <w:t>p</w:t>
      </w:r>
      <w:r w:rsidRPr="00ED4758">
        <w:rPr>
          <w:lang w:val="en-GB"/>
        </w:rPr>
        <w:t xml:space="preserve">revious composition of the Supervisory Board of the Bank was appointed by the decision of the </w:t>
      </w:r>
      <w:r w:rsidR="00325E06" w:rsidRPr="00ED4758">
        <w:rPr>
          <w:lang w:val="en-GB"/>
        </w:rPr>
        <w:t>single</w:t>
      </w:r>
      <w:r w:rsidRPr="00ED4758">
        <w:rPr>
          <w:lang w:val="en-GB"/>
        </w:rPr>
        <w:t xml:space="preserve"> shareholder </w:t>
      </w:r>
      <w:r w:rsidR="00325E06" w:rsidRPr="00ED4758">
        <w:rPr>
          <w:lang w:val="en-GB"/>
        </w:rPr>
        <w:t>as of 15.</w:t>
      </w:r>
      <w:r w:rsidR="00B45100" w:rsidRPr="00ED4758">
        <w:rPr>
          <w:lang w:val="en-GB"/>
        </w:rPr>
        <w:t xml:space="preserve">03.2018 </w:t>
      </w:r>
      <w:r w:rsidR="00325E06" w:rsidRPr="00ED4758">
        <w:rPr>
          <w:lang w:val="en-GB"/>
        </w:rPr>
        <w:t>in force till</w:t>
      </w:r>
      <w:r w:rsidR="002B21DE" w:rsidRPr="00ED4758">
        <w:rPr>
          <w:lang w:val="en-GB"/>
        </w:rPr>
        <w:t xml:space="preserve"> 14.03.2019 </w:t>
      </w:r>
      <w:r w:rsidR="00325E06" w:rsidRPr="00ED4758">
        <w:rPr>
          <w:lang w:val="en-GB"/>
        </w:rPr>
        <w:t>as follows</w:t>
      </w:r>
      <w:r w:rsidR="00B45100" w:rsidRPr="00ED4758">
        <w:rPr>
          <w:lang w:val="en-GB"/>
        </w:rPr>
        <w:t>:</w:t>
      </w:r>
    </w:p>
    <w:p w14:paraId="561FD5B4" w14:textId="2413F35B" w:rsidR="00325E06" w:rsidRPr="00ED4758" w:rsidRDefault="00325E06" w:rsidP="0022284B">
      <w:pPr>
        <w:pStyle w:val="ListParagraph"/>
        <w:numPr>
          <w:ilvl w:val="0"/>
          <w:numId w:val="1"/>
        </w:numPr>
        <w:jc w:val="both"/>
        <w:rPr>
          <w:lang w:val="en-GB"/>
        </w:rPr>
      </w:pPr>
      <w:r w:rsidRPr="00ED4758">
        <w:rPr>
          <w:lang w:val="en-GB"/>
        </w:rPr>
        <w:t>Head of the Supervisory Board – Yan D</w:t>
      </w:r>
      <w:r w:rsidR="007A3921">
        <w:rPr>
          <w:lang w:val="en-GB"/>
        </w:rPr>
        <w:t>o</w:t>
      </w:r>
      <w:r w:rsidRPr="00ED4758">
        <w:rPr>
          <w:lang w:val="en-GB"/>
        </w:rPr>
        <w:t>ngshen</w:t>
      </w:r>
      <w:r w:rsidR="007A3921">
        <w:rPr>
          <w:lang w:val="en-GB"/>
        </w:rPr>
        <w:t>g</w:t>
      </w:r>
      <w:r w:rsidRPr="00ED4758">
        <w:rPr>
          <w:lang w:val="en-GB"/>
        </w:rPr>
        <w:t>;</w:t>
      </w:r>
    </w:p>
    <w:p w14:paraId="30ECAAAD" w14:textId="0AF932B6" w:rsidR="00325E06" w:rsidRPr="00ED4758" w:rsidRDefault="00325E06" w:rsidP="0022284B">
      <w:pPr>
        <w:pStyle w:val="ListParagraph"/>
        <w:numPr>
          <w:ilvl w:val="0"/>
          <w:numId w:val="1"/>
        </w:numPr>
        <w:jc w:val="both"/>
        <w:rPr>
          <w:lang w:val="en-GB"/>
        </w:rPr>
      </w:pPr>
      <w:r w:rsidRPr="00ED4758">
        <w:rPr>
          <w:lang w:val="en-GB"/>
        </w:rPr>
        <w:t xml:space="preserve">Deputy Head of the Supervisory Board, (independent member) - </w:t>
      </w:r>
      <w:r w:rsidR="007A3921" w:rsidRPr="007A3921">
        <w:rPr>
          <w:lang w:val="en-GB"/>
        </w:rPr>
        <w:t xml:space="preserve">Wen </w:t>
      </w:r>
      <w:proofErr w:type="spellStart"/>
      <w:r w:rsidR="007A3921" w:rsidRPr="007A3921">
        <w:rPr>
          <w:lang w:val="en-GB"/>
        </w:rPr>
        <w:t>Yuanhua</w:t>
      </w:r>
      <w:proofErr w:type="spellEnd"/>
      <w:r w:rsidRPr="00ED4758">
        <w:rPr>
          <w:lang w:val="en-GB"/>
        </w:rPr>
        <w:t>;</w:t>
      </w:r>
    </w:p>
    <w:p w14:paraId="6DDE9E1B" w14:textId="1E83DAF9" w:rsidR="00325E06" w:rsidRPr="00ED4758" w:rsidRDefault="00325E06" w:rsidP="0022284B">
      <w:pPr>
        <w:pStyle w:val="ListParagraph"/>
        <w:numPr>
          <w:ilvl w:val="0"/>
          <w:numId w:val="1"/>
        </w:numPr>
        <w:jc w:val="both"/>
        <w:rPr>
          <w:lang w:val="en-GB"/>
        </w:rPr>
      </w:pPr>
      <w:r w:rsidRPr="00ED4758">
        <w:rPr>
          <w:lang w:val="en-GB"/>
        </w:rPr>
        <w:t xml:space="preserve">Member of the Supervisory Board - </w:t>
      </w:r>
      <w:r w:rsidR="007A3921" w:rsidRPr="007A3921">
        <w:rPr>
          <w:lang w:val="en-GB"/>
        </w:rPr>
        <w:t xml:space="preserve">Tang </w:t>
      </w:r>
      <w:proofErr w:type="spellStart"/>
      <w:r w:rsidR="007A3921" w:rsidRPr="007A3921">
        <w:rPr>
          <w:lang w:val="en-GB"/>
        </w:rPr>
        <w:t>Weijun</w:t>
      </w:r>
      <w:proofErr w:type="spellEnd"/>
      <w:r w:rsidRPr="00ED4758">
        <w:rPr>
          <w:lang w:val="en-GB"/>
        </w:rPr>
        <w:t>;</w:t>
      </w:r>
    </w:p>
    <w:p w14:paraId="70689BB3" w14:textId="290C6C84" w:rsidR="00325E06" w:rsidRPr="00ED4758" w:rsidRDefault="00325E06" w:rsidP="0022284B">
      <w:pPr>
        <w:pStyle w:val="ListParagraph"/>
        <w:numPr>
          <w:ilvl w:val="0"/>
          <w:numId w:val="1"/>
        </w:numPr>
        <w:jc w:val="both"/>
        <w:rPr>
          <w:lang w:val="en-GB"/>
        </w:rPr>
      </w:pPr>
      <w:r w:rsidRPr="00ED4758">
        <w:rPr>
          <w:lang w:val="en-GB"/>
        </w:rPr>
        <w:t xml:space="preserve">Member of the Supervisory Board (independent member) – </w:t>
      </w:r>
      <w:proofErr w:type="spellStart"/>
      <w:r w:rsidRPr="00ED4758">
        <w:rPr>
          <w:lang w:val="en-GB"/>
        </w:rPr>
        <w:t>Osypenko</w:t>
      </w:r>
      <w:proofErr w:type="spellEnd"/>
      <w:r w:rsidRPr="00ED4758">
        <w:rPr>
          <w:lang w:val="en-GB"/>
        </w:rPr>
        <w:t xml:space="preserve"> Ruslan </w:t>
      </w:r>
      <w:proofErr w:type="spellStart"/>
      <w:r w:rsidRPr="00ED4758">
        <w:rPr>
          <w:lang w:val="en-GB"/>
        </w:rPr>
        <w:t>Anatoliyovych</w:t>
      </w:r>
      <w:proofErr w:type="spellEnd"/>
      <w:r w:rsidRPr="00ED4758">
        <w:rPr>
          <w:lang w:val="en-GB"/>
        </w:rPr>
        <w:t xml:space="preserve"> </w:t>
      </w:r>
    </w:p>
    <w:p w14:paraId="368FBE4C" w14:textId="40C1BA69" w:rsidR="00325E06" w:rsidRPr="00ED4758" w:rsidRDefault="00325E06" w:rsidP="0022284B">
      <w:pPr>
        <w:pStyle w:val="ListParagraph"/>
        <w:numPr>
          <w:ilvl w:val="0"/>
          <w:numId w:val="1"/>
        </w:numPr>
        <w:jc w:val="both"/>
        <w:rPr>
          <w:lang w:val="en-GB"/>
        </w:rPr>
      </w:pPr>
      <w:r w:rsidRPr="00ED4758">
        <w:rPr>
          <w:lang w:val="en-GB"/>
        </w:rPr>
        <w:t xml:space="preserve">Member of the Supervisory Board (independent member) – </w:t>
      </w:r>
      <w:proofErr w:type="spellStart"/>
      <w:r w:rsidRPr="00ED4758">
        <w:rPr>
          <w:lang w:val="en-GB"/>
        </w:rPr>
        <w:t>Blaschuk</w:t>
      </w:r>
      <w:proofErr w:type="spellEnd"/>
      <w:r w:rsidRPr="00ED4758">
        <w:rPr>
          <w:lang w:val="en-GB"/>
        </w:rPr>
        <w:t xml:space="preserve"> </w:t>
      </w:r>
      <w:proofErr w:type="spellStart"/>
      <w:r w:rsidRPr="00ED4758">
        <w:rPr>
          <w:lang w:val="en-GB"/>
        </w:rPr>
        <w:t>Yuriy</w:t>
      </w:r>
      <w:proofErr w:type="spellEnd"/>
      <w:r w:rsidRPr="00ED4758">
        <w:rPr>
          <w:lang w:val="en-GB"/>
        </w:rPr>
        <w:t xml:space="preserve"> </w:t>
      </w:r>
      <w:proofErr w:type="spellStart"/>
      <w:r w:rsidRPr="00ED4758">
        <w:rPr>
          <w:lang w:val="en-GB"/>
        </w:rPr>
        <w:t>Oleksandrovych</w:t>
      </w:r>
      <w:proofErr w:type="spellEnd"/>
      <w:r w:rsidRPr="00ED4758">
        <w:rPr>
          <w:lang w:val="en-GB"/>
        </w:rPr>
        <w:t xml:space="preserve">. </w:t>
      </w:r>
    </w:p>
    <w:p w14:paraId="7C851A92" w14:textId="77777777" w:rsidR="00354764" w:rsidRPr="00ED4758" w:rsidRDefault="00354764" w:rsidP="00BB34F9">
      <w:pPr>
        <w:ind w:firstLine="567"/>
        <w:jc w:val="both"/>
        <w:rPr>
          <w:shd w:val="clear" w:color="auto" w:fill="FFFFFF"/>
          <w:lang w:val="en-GB"/>
        </w:rPr>
      </w:pPr>
    </w:p>
    <w:p w14:paraId="0031208D" w14:textId="11494D41" w:rsidR="00325E06" w:rsidRPr="00ED4758" w:rsidRDefault="002B21DE" w:rsidP="00325E06">
      <w:pPr>
        <w:ind w:firstLine="567"/>
        <w:jc w:val="both"/>
        <w:rPr>
          <w:lang w:val="en-GB"/>
        </w:rPr>
      </w:pPr>
      <w:r w:rsidRPr="00ED4758">
        <w:rPr>
          <w:lang w:val="en-GB"/>
        </w:rPr>
        <w:t xml:space="preserve"> </w:t>
      </w:r>
      <w:r w:rsidR="00325E06" w:rsidRPr="00ED4758">
        <w:rPr>
          <w:lang w:val="en-GB"/>
        </w:rPr>
        <w:t xml:space="preserve">By </w:t>
      </w:r>
      <w:r w:rsidR="007A3921">
        <w:rPr>
          <w:lang w:val="en-GB"/>
        </w:rPr>
        <w:t xml:space="preserve">the </w:t>
      </w:r>
      <w:r w:rsidR="00325E06" w:rsidRPr="00ED4758">
        <w:rPr>
          <w:lang w:val="en-GB"/>
        </w:rPr>
        <w:t xml:space="preserve">decision of the single shareholder No.1/2019 dated 14.03.2019, the aforementioned composition of the Supervisory Board was re-elected for a new term in full </w:t>
      </w:r>
      <w:r w:rsidR="007A3921">
        <w:rPr>
          <w:lang w:val="en-GB"/>
        </w:rPr>
        <w:t xml:space="preserve">composition </w:t>
      </w:r>
      <w:r w:rsidR="00325E06" w:rsidRPr="00ED4758">
        <w:rPr>
          <w:lang w:val="en-GB"/>
        </w:rPr>
        <w:t>with a 1-year term of office.</w:t>
      </w:r>
    </w:p>
    <w:p w14:paraId="77BA77EB" w14:textId="2B3D61E4" w:rsidR="00325E06" w:rsidRPr="00ED4758" w:rsidRDefault="00884576" w:rsidP="00325E06">
      <w:pPr>
        <w:ind w:firstLine="567"/>
        <w:jc w:val="both"/>
        <w:rPr>
          <w:lang w:val="en-GB"/>
        </w:rPr>
      </w:pPr>
      <w:r w:rsidRPr="00ED4758">
        <w:rPr>
          <w:lang w:val="en-GB"/>
        </w:rPr>
        <w:t xml:space="preserve">On </w:t>
      </w:r>
      <w:r w:rsidR="00325E06" w:rsidRPr="00ED4758">
        <w:rPr>
          <w:lang w:val="en-GB"/>
        </w:rPr>
        <w:t>April 25, 2019</w:t>
      </w:r>
      <w:r w:rsidR="007A3921">
        <w:rPr>
          <w:lang w:val="en-GB"/>
        </w:rPr>
        <w:t>, the</w:t>
      </w:r>
      <w:r w:rsidR="00325E06" w:rsidRPr="00ED4758">
        <w:rPr>
          <w:lang w:val="en-GB"/>
        </w:rPr>
        <w:t xml:space="preserve"> decision of </w:t>
      </w:r>
      <w:r w:rsidRPr="00ED4758">
        <w:rPr>
          <w:lang w:val="en-GB"/>
        </w:rPr>
        <w:t>the s</w:t>
      </w:r>
      <w:r w:rsidR="00325E06" w:rsidRPr="00ED4758">
        <w:rPr>
          <w:lang w:val="en-GB"/>
        </w:rPr>
        <w:t xml:space="preserve">ingle </w:t>
      </w:r>
      <w:r w:rsidRPr="00ED4758">
        <w:rPr>
          <w:lang w:val="en-GB"/>
        </w:rPr>
        <w:t>s</w:t>
      </w:r>
      <w:r w:rsidR="00325E06" w:rsidRPr="00ED4758">
        <w:rPr>
          <w:lang w:val="en-GB"/>
        </w:rPr>
        <w:t>hareholder No. 2/2019 dated April 25, 2019</w:t>
      </w:r>
      <w:r w:rsidRPr="00ED4758">
        <w:rPr>
          <w:lang w:val="en-GB"/>
        </w:rPr>
        <w:t xml:space="preserve"> terminated</w:t>
      </w:r>
      <w:r w:rsidR="00325E06" w:rsidRPr="00ED4758">
        <w:rPr>
          <w:lang w:val="en-GB"/>
        </w:rPr>
        <w:t xml:space="preserve"> the term of office of Tang </w:t>
      </w:r>
      <w:proofErr w:type="spellStart"/>
      <w:r w:rsidR="00325E06" w:rsidRPr="00ED4758">
        <w:rPr>
          <w:lang w:val="en-GB"/>
        </w:rPr>
        <w:t>Weijun</w:t>
      </w:r>
      <w:proofErr w:type="spellEnd"/>
      <w:r w:rsidR="00325E06" w:rsidRPr="00ED4758">
        <w:rPr>
          <w:lang w:val="en-GB"/>
        </w:rPr>
        <w:t>, Member of the Supervisory Board.</w:t>
      </w:r>
    </w:p>
    <w:p w14:paraId="7205C07C" w14:textId="1584D29E" w:rsidR="00884576" w:rsidRDefault="00325E06" w:rsidP="00325E06">
      <w:pPr>
        <w:ind w:firstLine="567"/>
        <w:jc w:val="both"/>
        <w:rPr>
          <w:lang w:val="en-GB"/>
        </w:rPr>
      </w:pPr>
      <w:r w:rsidRPr="00ED4758">
        <w:rPr>
          <w:lang w:val="en-GB"/>
        </w:rPr>
        <w:t xml:space="preserve">The total amount of payments to the members of the Supervisory Board of the Bank for 2019 amounted to </w:t>
      </w:r>
      <w:r w:rsidR="00884576" w:rsidRPr="00ED4758">
        <w:rPr>
          <w:lang w:val="en-GB"/>
        </w:rPr>
        <w:t xml:space="preserve">UAH </w:t>
      </w:r>
      <w:r w:rsidRPr="00ED4758">
        <w:rPr>
          <w:lang w:val="en-GB"/>
        </w:rPr>
        <w:t>1</w:t>
      </w:r>
      <w:r w:rsidR="00884576" w:rsidRPr="00ED4758">
        <w:rPr>
          <w:lang w:val="en-GB"/>
        </w:rPr>
        <w:t>,</w:t>
      </w:r>
      <w:r w:rsidRPr="00ED4758">
        <w:rPr>
          <w:lang w:val="en-GB"/>
        </w:rPr>
        <w:t>544 thousand.</w:t>
      </w:r>
    </w:p>
    <w:p w14:paraId="2390C780" w14:textId="77777777" w:rsidR="007A3921" w:rsidRPr="00ED4758" w:rsidRDefault="007A3921" w:rsidP="00325E06">
      <w:pPr>
        <w:ind w:firstLine="567"/>
        <w:jc w:val="both"/>
        <w:rPr>
          <w:lang w:val="en-GB"/>
        </w:rPr>
      </w:pPr>
    </w:p>
    <w:p w14:paraId="2CDBD81C" w14:textId="3F56ED8F" w:rsidR="00884576" w:rsidRPr="00ED4758" w:rsidRDefault="00884576" w:rsidP="00BB34F9">
      <w:pPr>
        <w:ind w:firstLine="567"/>
        <w:jc w:val="both"/>
        <w:rPr>
          <w:lang w:val="en-GB"/>
        </w:rPr>
      </w:pPr>
      <w:r w:rsidRPr="00ED4758">
        <w:rPr>
          <w:lang w:val="en-GB"/>
        </w:rPr>
        <w:t xml:space="preserve">During 2019, the Bank's Supervisory Board made decisions </w:t>
      </w:r>
      <w:r w:rsidR="00063985">
        <w:rPr>
          <w:lang w:val="en-GB"/>
        </w:rPr>
        <w:t xml:space="preserve">on </w:t>
      </w:r>
      <w:r w:rsidRPr="00ED4758">
        <w:rPr>
          <w:lang w:val="en-GB"/>
        </w:rPr>
        <w:t>approving the Bank's strategic plans for development, determining the organisational structure of the Bank and issues of its operations, issues of the Internal Audit Service, determining the audit company to audit the bank's financial statements for the year ended December 31, 2019, increasing regulatory capital etc.</w:t>
      </w:r>
    </w:p>
    <w:p w14:paraId="5727C03B" w14:textId="42E6C655" w:rsidR="00BC362B" w:rsidRPr="00ED4758" w:rsidRDefault="00884576" w:rsidP="00BB34F9">
      <w:pPr>
        <w:ind w:firstLine="567"/>
        <w:jc w:val="both"/>
        <w:rPr>
          <w:i/>
          <w:lang w:val="en-GB"/>
        </w:rPr>
      </w:pPr>
      <w:r w:rsidRPr="00ED4758">
        <w:rPr>
          <w:i/>
          <w:iCs/>
          <w:lang w:val="en-GB"/>
        </w:rPr>
        <w:t>The Supervisory Board established the following committees</w:t>
      </w:r>
      <w:r w:rsidRPr="00ED4758">
        <w:rPr>
          <w:lang w:val="en-GB"/>
        </w:rPr>
        <w:t xml:space="preserve">: </w:t>
      </w:r>
    </w:p>
    <w:p w14:paraId="2BD3105C" w14:textId="7DFDA3B0" w:rsidR="00D34A14" w:rsidRPr="00ED4758" w:rsidRDefault="00884576" w:rsidP="00BB34F9">
      <w:pPr>
        <w:widowControl w:val="0"/>
        <w:autoSpaceDE w:val="0"/>
        <w:autoSpaceDN w:val="0"/>
        <w:adjustRightInd w:val="0"/>
        <w:ind w:firstLine="567"/>
        <w:jc w:val="both"/>
        <w:rPr>
          <w:rFonts w:eastAsiaTheme="minorHAnsi"/>
          <w:color w:val="000000"/>
          <w:lang w:val="en-GB" w:eastAsia="en-US"/>
        </w:rPr>
      </w:pPr>
      <w:r w:rsidRPr="00ED4758">
        <w:rPr>
          <w:u w:val="single"/>
          <w:lang w:val="en-GB"/>
        </w:rPr>
        <w:t>The Audit Committee</w:t>
      </w:r>
      <w:r w:rsidR="00292C49" w:rsidRPr="00ED4758">
        <w:rPr>
          <w:i/>
          <w:lang w:val="en-GB"/>
        </w:rPr>
        <w:t xml:space="preserve">, </w:t>
      </w:r>
      <w:r w:rsidRPr="00ED4758">
        <w:rPr>
          <w:iCs/>
          <w:lang w:val="en-GB"/>
        </w:rPr>
        <w:t xml:space="preserve">established by the decision of the Supervisory Board as a body to assist it in </w:t>
      </w:r>
      <w:r w:rsidR="00063985">
        <w:rPr>
          <w:iCs/>
          <w:lang w:val="en-GB"/>
        </w:rPr>
        <w:t xml:space="preserve">the </w:t>
      </w:r>
      <w:r w:rsidRPr="00ED4758">
        <w:rPr>
          <w:iCs/>
          <w:lang w:val="en-GB"/>
        </w:rPr>
        <w:t xml:space="preserve">oversight of </w:t>
      </w:r>
      <w:r w:rsidR="00063985">
        <w:rPr>
          <w:iCs/>
          <w:lang w:val="en-GB"/>
        </w:rPr>
        <w:t>the i</w:t>
      </w:r>
      <w:r w:rsidRPr="00ED4758">
        <w:rPr>
          <w:iCs/>
          <w:lang w:val="en-GB"/>
        </w:rPr>
        <w:t>nternal control system, preparing financial reports, control of the performance of the internal audit department of the Bank, cooperation with external auditors</w:t>
      </w:r>
      <w:r w:rsidR="00063985">
        <w:rPr>
          <w:iCs/>
          <w:lang w:val="en-GB"/>
        </w:rPr>
        <w:t xml:space="preserve"> and their performance</w:t>
      </w:r>
      <w:r w:rsidR="002B0BD1" w:rsidRPr="00ED4758">
        <w:rPr>
          <w:iCs/>
          <w:lang w:val="en-GB"/>
        </w:rPr>
        <w:t>, review</w:t>
      </w:r>
      <w:r w:rsidR="00063985">
        <w:rPr>
          <w:iCs/>
          <w:lang w:val="en-GB"/>
        </w:rPr>
        <w:t xml:space="preserve"> of</w:t>
      </w:r>
      <w:r w:rsidR="002B0BD1" w:rsidRPr="00ED4758">
        <w:rPr>
          <w:iCs/>
          <w:lang w:val="en-GB"/>
        </w:rPr>
        <w:t xml:space="preserve"> other issues to be delegated, assigned by the Supervisory Board or stipulated by law and Articles of Association of the Bank. </w:t>
      </w:r>
      <w:r w:rsidRPr="00ED4758">
        <w:rPr>
          <w:iCs/>
          <w:lang w:val="en-GB"/>
        </w:rPr>
        <w:t xml:space="preserve">  </w:t>
      </w:r>
    </w:p>
    <w:p w14:paraId="558AD166" w14:textId="724427ED" w:rsidR="00A00748" w:rsidRPr="00ED4758" w:rsidRDefault="002B0BD1" w:rsidP="00BB34F9">
      <w:pPr>
        <w:widowControl w:val="0"/>
        <w:autoSpaceDE w:val="0"/>
        <w:autoSpaceDN w:val="0"/>
        <w:adjustRightInd w:val="0"/>
        <w:ind w:firstLine="567"/>
        <w:jc w:val="both"/>
        <w:rPr>
          <w:rFonts w:eastAsiaTheme="minorHAnsi"/>
          <w:color w:val="000000"/>
          <w:lang w:val="en-GB" w:eastAsia="en-US"/>
        </w:rPr>
      </w:pPr>
      <w:r w:rsidRPr="00ED4758">
        <w:rPr>
          <w:rFonts w:eastAsiaTheme="minorHAnsi"/>
          <w:color w:val="000000"/>
          <w:lang w:val="en-GB" w:eastAsia="en-US"/>
        </w:rPr>
        <w:t>In the reporting year</w:t>
      </w:r>
      <w:r w:rsidR="00063985">
        <w:rPr>
          <w:rFonts w:eastAsiaTheme="minorHAnsi"/>
          <w:color w:val="000000"/>
          <w:lang w:val="en-GB" w:eastAsia="en-US"/>
        </w:rPr>
        <w:t>,</w:t>
      </w:r>
      <w:r w:rsidRPr="00ED4758">
        <w:rPr>
          <w:rFonts w:eastAsiaTheme="minorHAnsi"/>
          <w:color w:val="000000"/>
          <w:lang w:val="en-GB" w:eastAsia="en-US"/>
        </w:rPr>
        <w:t xml:space="preserve"> the Audit committee had 6 meetings, at which the following issues were discussed: performance of the internal audit department, the status of the internal control system, the report of the external auditor for 2018, the issue of establishing the criteria for conducting a </w:t>
      </w:r>
      <w:r w:rsidRPr="00ED4758">
        <w:rPr>
          <w:rFonts w:eastAsiaTheme="minorHAnsi"/>
          <w:color w:val="000000"/>
          <w:lang w:val="en-GB" w:eastAsia="en-US"/>
        </w:rPr>
        <w:lastRenderedPageBreak/>
        <w:t xml:space="preserve">competition for external auditor for audit of the financial </w:t>
      </w:r>
      <w:r w:rsidR="001A1BDD" w:rsidRPr="00ED4758">
        <w:rPr>
          <w:rFonts w:eastAsiaTheme="minorHAnsi"/>
          <w:color w:val="000000"/>
          <w:lang w:val="en-GB" w:eastAsia="en-US"/>
        </w:rPr>
        <w:t xml:space="preserve">reports </w:t>
      </w:r>
      <w:r w:rsidRPr="00ED4758">
        <w:rPr>
          <w:rFonts w:eastAsiaTheme="minorHAnsi"/>
          <w:color w:val="000000"/>
          <w:lang w:val="en-GB" w:eastAsia="en-US"/>
        </w:rPr>
        <w:t>for the year ending December 31, 2019 and</w:t>
      </w:r>
      <w:r w:rsidR="00063985">
        <w:rPr>
          <w:rFonts w:eastAsiaTheme="minorHAnsi"/>
          <w:color w:val="000000"/>
          <w:lang w:val="en-GB" w:eastAsia="en-US"/>
        </w:rPr>
        <w:t xml:space="preserve"> </w:t>
      </w:r>
      <w:r w:rsidRPr="00ED4758">
        <w:rPr>
          <w:rFonts w:eastAsiaTheme="minorHAnsi"/>
          <w:color w:val="000000"/>
          <w:lang w:val="en-GB" w:eastAsia="en-US"/>
        </w:rPr>
        <w:t>providing recommendations to the Supervisory Board on determining the winner, as well as other issues.</w:t>
      </w:r>
      <w:r w:rsidR="001A1BDD" w:rsidRPr="00ED4758">
        <w:rPr>
          <w:rFonts w:eastAsiaTheme="minorHAnsi"/>
          <w:color w:val="000000"/>
          <w:lang w:val="en-GB" w:eastAsia="en-US"/>
        </w:rPr>
        <w:t xml:space="preserve"> </w:t>
      </w:r>
    </w:p>
    <w:p w14:paraId="37CE399B" w14:textId="77777777" w:rsidR="00A00748" w:rsidRPr="00ED4758" w:rsidRDefault="00A00748" w:rsidP="00BB34F9">
      <w:pPr>
        <w:widowControl w:val="0"/>
        <w:autoSpaceDE w:val="0"/>
        <w:autoSpaceDN w:val="0"/>
        <w:adjustRightInd w:val="0"/>
        <w:ind w:firstLine="567"/>
        <w:jc w:val="both"/>
        <w:rPr>
          <w:rFonts w:eastAsiaTheme="minorHAnsi"/>
          <w:color w:val="000000"/>
          <w:lang w:val="en-GB" w:eastAsia="en-US"/>
        </w:rPr>
      </w:pPr>
    </w:p>
    <w:p w14:paraId="7FF2D739" w14:textId="7E1F22AD" w:rsidR="00C67410" w:rsidRPr="00ED4758" w:rsidRDefault="001A1BDD" w:rsidP="00C67410">
      <w:pPr>
        <w:widowControl w:val="0"/>
        <w:autoSpaceDE w:val="0"/>
        <w:autoSpaceDN w:val="0"/>
        <w:adjustRightInd w:val="0"/>
        <w:ind w:firstLine="567"/>
        <w:jc w:val="both"/>
        <w:rPr>
          <w:rFonts w:eastAsiaTheme="minorHAnsi"/>
          <w:color w:val="000000"/>
          <w:lang w:val="en-GB" w:eastAsia="en-US"/>
        </w:rPr>
      </w:pPr>
      <w:r w:rsidRPr="00ED4758">
        <w:rPr>
          <w:rFonts w:eastAsiaTheme="minorHAnsi"/>
          <w:color w:val="000000"/>
          <w:u w:val="single"/>
          <w:lang w:val="en-GB" w:eastAsia="en-US"/>
        </w:rPr>
        <w:t xml:space="preserve">Risk management committee, </w:t>
      </w:r>
      <w:r w:rsidRPr="00ED4758">
        <w:rPr>
          <w:rFonts w:eastAsiaTheme="minorHAnsi"/>
          <w:color w:val="000000"/>
          <w:lang w:val="en-GB" w:eastAsia="en-US"/>
        </w:rPr>
        <w:t xml:space="preserve">the purpose of which is to </w:t>
      </w:r>
      <w:r w:rsidR="00063985">
        <w:rPr>
          <w:rFonts w:eastAsiaTheme="minorHAnsi"/>
          <w:color w:val="000000"/>
          <w:lang w:val="en-GB" w:eastAsia="en-US"/>
        </w:rPr>
        <w:t>assist</w:t>
      </w:r>
      <w:r w:rsidR="00C67410" w:rsidRPr="00ED4758">
        <w:rPr>
          <w:rFonts w:eastAsiaTheme="minorHAnsi"/>
          <w:color w:val="000000"/>
          <w:lang w:val="en-GB" w:eastAsia="en-US"/>
        </w:rPr>
        <w:t xml:space="preserve"> the Supervisory Board of the Bank in carrying out its function</w:t>
      </w:r>
      <w:r w:rsidR="00063985">
        <w:rPr>
          <w:rFonts w:eastAsiaTheme="minorHAnsi"/>
          <w:color w:val="000000"/>
          <w:lang w:val="en-GB" w:eastAsia="en-US"/>
        </w:rPr>
        <w:t>s</w:t>
      </w:r>
      <w:r w:rsidR="00C67410" w:rsidRPr="00ED4758">
        <w:rPr>
          <w:rFonts w:eastAsiaTheme="minorHAnsi"/>
          <w:color w:val="000000"/>
          <w:lang w:val="en-GB" w:eastAsia="en-US"/>
        </w:rPr>
        <w:t xml:space="preserve"> of effective </w:t>
      </w:r>
      <w:r w:rsidR="00063985" w:rsidRPr="00ED4758">
        <w:rPr>
          <w:rFonts w:eastAsiaTheme="minorHAnsi"/>
          <w:color w:val="000000"/>
          <w:lang w:val="en-GB" w:eastAsia="en-US"/>
        </w:rPr>
        <w:t>implementa</w:t>
      </w:r>
      <w:r w:rsidR="00063985">
        <w:rPr>
          <w:rFonts w:eastAsiaTheme="minorHAnsi"/>
          <w:color w:val="000000"/>
          <w:lang w:val="en-GB" w:eastAsia="en-US"/>
        </w:rPr>
        <w:t>tion of</w:t>
      </w:r>
      <w:r w:rsidR="00C67410" w:rsidRPr="00ED4758">
        <w:rPr>
          <w:rFonts w:eastAsiaTheme="minorHAnsi"/>
          <w:color w:val="000000"/>
          <w:lang w:val="en-GB" w:eastAsia="en-US"/>
        </w:rPr>
        <w:t xml:space="preserve"> the Bank's risk management strategy, organis</w:t>
      </w:r>
      <w:r w:rsidR="00063985">
        <w:rPr>
          <w:rFonts w:eastAsiaTheme="minorHAnsi"/>
          <w:color w:val="000000"/>
          <w:lang w:val="en-GB" w:eastAsia="en-US"/>
        </w:rPr>
        <w:t>ation of</w:t>
      </w:r>
      <w:r w:rsidR="00C67410" w:rsidRPr="00ED4758">
        <w:rPr>
          <w:rFonts w:eastAsiaTheme="minorHAnsi"/>
          <w:color w:val="000000"/>
          <w:lang w:val="en-GB" w:eastAsia="en-US"/>
        </w:rPr>
        <w:t xml:space="preserve"> the risk management process, identif</w:t>
      </w:r>
      <w:r w:rsidR="00063985">
        <w:rPr>
          <w:rFonts w:eastAsiaTheme="minorHAnsi"/>
          <w:color w:val="000000"/>
          <w:lang w:val="en-GB" w:eastAsia="en-US"/>
        </w:rPr>
        <w:t>ication of</w:t>
      </w:r>
      <w:r w:rsidR="00C67410" w:rsidRPr="00ED4758">
        <w:rPr>
          <w:rFonts w:eastAsiaTheme="minorHAnsi"/>
          <w:color w:val="000000"/>
          <w:lang w:val="en-GB" w:eastAsia="en-US"/>
        </w:rPr>
        <w:t xml:space="preserve"> the departments responsible for risk management, making decisions on risks within the competence of the Supervisory Board of the Bank.</w:t>
      </w:r>
    </w:p>
    <w:p w14:paraId="6D27331C" w14:textId="0B8244F5" w:rsidR="00A00748" w:rsidRPr="00ED4758" w:rsidRDefault="00C67410" w:rsidP="00C67410">
      <w:pPr>
        <w:widowControl w:val="0"/>
        <w:autoSpaceDE w:val="0"/>
        <w:autoSpaceDN w:val="0"/>
        <w:adjustRightInd w:val="0"/>
        <w:ind w:firstLine="567"/>
        <w:jc w:val="both"/>
        <w:rPr>
          <w:rFonts w:eastAsiaTheme="minorHAnsi"/>
          <w:color w:val="000000"/>
          <w:lang w:val="en-GB" w:eastAsia="en-US"/>
        </w:rPr>
      </w:pPr>
      <w:r w:rsidRPr="00ED4758">
        <w:rPr>
          <w:rFonts w:eastAsiaTheme="minorHAnsi"/>
          <w:color w:val="000000"/>
          <w:lang w:val="en-GB" w:eastAsia="en-US"/>
        </w:rPr>
        <w:t>During 2019, at its meetings the Risk management committee discussed the issues of reviewing risk reports, the results of stress testing and the status of implementation of the targets set by the Development Strategy for 2018-2021, risk compliance reports, review of CRO notifications, review and approval of internal documents of Bank, other issues.</w:t>
      </w:r>
    </w:p>
    <w:p w14:paraId="64F793A0" w14:textId="039410DA" w:rsidR="00B45100" w:rsidRPr="00ED4758" w:rsidRDefault="00B45100" w:rsidP="00C67410">
      <w:pPr>
        <w:jc w:val="both"/>
        <w:rPr>
          <w:i/>
          <w:lang w:val="en-GB"/>
        </w:rPr>
      </w:pPr>
    </w:p>
    <w:p w14:paraId="1CEADFE8" w14:textId="5934DC35" w:rsidR="00C67410" w:rsidRPr="00ED4758" w:rsidRDefault="00C67410" w:rsidP="00C67410">
      <w:pPr>
        <w:ind w:firstLine="567"/>
        <w:jc w:val="both"/>
        <w:rPr>
          <w:i/>
          <w:iCs/>
          <w:lang w:val="en-GB"/>
        </w:rPr>
      </w:pPr>
      <w:r w:rsidRPr="00ED4758">
        <w:rPr>
          <w:i/>
          <w:iCs/>
          <w:lang w:val="en-GB"/>
        </w:rPr>
        <w:t>Information on the activities of the Executive Board of the Bank</w:t>
      </w:r>
    </w:p>
    <w:p w14:paraId="084C23BD" w14:textId="509FE5C7" w:rsidR="00CB3703" w:rsidRPr="00ED4758" w:rsidRDefault="00C67410" w:rsidP="00CB3703">
      <w:pPr>
        <w:ind w:firstLine="567"/>
        <w:jc w:val="both"/>
        <w:rPr>
          <w:lang w:val="en-GB"/>
        </w:rPr>
      </w:pPr>
      <w:r w:rsidRPr="00ED4758">
        <w:rPr>
          <w:lang w:val="en-GB"/>
        </w:rPr>
        <w:t xml:space="preserve">The </w:t>
      </w:r>
      <w:r w:rsidR="00BD7F52" w:rsidRPr="00ED4758">
        <w:rPr>
          <w:lang w:val="en-GB"/>
        </w:rPr>
        <w:t>Executive</w:t>
      </w:r>
      <w:r w:rsidRPr="00ED4758">
        <w:rPr>
          <w:lang w:val="en-GB"/>
        </w:rPr>
        <w:t xml:space="preserve"> Board is the collegial executive </w:t>
      </w:r>
      <w:r w:rsidR="00BD7F52" w:rsidRPr="00ED4758">
        <w:rPr>
          <w:lang w:val="en-GB"/>
        </w:rPr>
        <w:t xml:space="preserve">management </w:t>
      </w:r>
      <w:r w:rsidRPr="00ED4758">
        <w:rPr>
          <w:lang w:val="en-GB"/>
        </w:rPr>
        <w:t xml:space="preserve">body of the </w:t>
      </w:r>
      <w:r w:rsidR="00BD7F52" w:rsidRPr="00ED4758">
        <w:rPr>
          <w:lang w:val="en-GB"/>
        </w:rPr>
        <w:t>Bank</w:t>
      </w:r>
      <w:r w:rsidRPr="00ED4758">
        <w:rPr>
          <w:lang w:val="en-GB"/>
        </w:rPr>
        <w:t xml:space="preserve">. The </w:t>
      </w:r>
      <w:r w:rsidR="00063985" w:rsidRPr="00ED4758">
        <w:rPr>
          <w:lang w:val="en-GB"/>
        </w:rPr>
        <w:t>Executive</w:t>
      </w:r>
      <w:r w:rsidRPr="00ED4758">
        <w:rPr>
          <w:lang w:val="en-GB"/>
        </w:rPr>
        <w:t xml:space="preserve"> Board reports to the General Meeting of Shareholders and the Supervisory Board and </w:t>
      </w:r>
      <w:r w:rsidR="00063985">
        <w:rPr>
          <w:lang w:val="en-GB"/>
        </w:rPr>
        <w:t>ensures</w:t>
      </w:r>
      <w:r w:rsidRPr="00ED4758">
        <w:rPr>
          <w:lang w:val="en-GB"/>
        </w:rPr>
        <w:t xml:space="preserve"> implementation of their decisions. The </w:t>
      </w:r>
      <w:r w:rsidR="00F614F3" w:rsidRPr="00ED4758">
        <w:rPr>
          <w:lang w:val="en-GB"/>
        </w:rPr>
        <w:t>Executive Board</w:t>
      </w:r>
      <w:r w:rsidRPr="00ED4758">
        <w:rPr>
          <w:lang w:val="en-GB"/>
        </w:rPr>
        <w:t xml:space="preserve"> manages day-to-day activities of the Bank, form</w:t>
      </w:r>
      <w:r w:rsidR="00063985">
        <w:rPr>
          <w:lang w:val="en-GB"/>
        </w:rPr>
        <w:t>s</w:t>
      </w:r>
      <w:r w:rsidRPr="00ED4758">
        <w:rPr>
          <w:lang w:val="en-GB"/>
        </w:rPr>
        <w:t xml:space="preserve"> </w:t>
      </w:r>
      <w:r w:rsidR="00063985">
        <w:rPr>
          <w:lang w:val="en-GB"/>
        </w:rPr>
        <w:t>the</w:t>
      </w:r>
      <w:r w:rsidRPr="00ED4758">
        <w:rPr>
          <w:lang w:val="en-GB"/>
        </w:rPr>
        <w:t xml:space="preserve"> funds required for the Bank's statutory activities and is responsible for the efficiency of its operations in accordance with the principles and procedure</w:t>
      </w:r>
      <w:r w:rsidR="00063985">
        <w:rPr>
          <w:lang w:val="en-GB"/>
        </w:rPr>
        <w:t>s</w:t>
      </w:r>
      <w:r w:rsidRPr="00ED4758">
        <w:rPr>
          <w:lang w:val="en-GB"/>
        </w:rPr>
        <w:t xml:space="preserve"> established by the </w:t>
      </w:r>
      <w:r w:rsidR="00CB3703" w:rsidRPr="00ED4758">
        <w:rPr>
          <w:lang w:val="en-GB"/>
        </w:rPr>
        <w:t>Article</w:t>
      </w:r>
      <w:r w:rsidR="00063985">
        <w:rPr>
          <w:lang w:val="en-GB"/>
        </w:rPr>
        <w:t>s</w:t>
      </w:r>
      <w:r w:rsidR="00CB3703" w:rsidRPr="00ED4758">
        <w:rPr>
          <w:lang w:val="en-GB"/>
        </w:rPr>
        <w:t xml:space="preserve"> of Association</w:t>
      </w:r>
      <w:r w:rsidRPr="00ED4758">
        <w:rPr>
          <w:lang w:val="en-GB"/>
        </w:rPr>
        <w:t xml:space="preserve">, decisions of the General Meeting of Shareholders and the Supervisory Board. The competence of the </w:t>
      </w:r>
      <w:r w:rsidR="00CB3703" w:rsidRPr="00ED4758">
        <w:rPr>
          <w:lang w:val="en-GB"/>
        </w:rPr>
        <w:t>Executive</w:t>
      </w:r>
      <w:r w:rsidRPr="00ED4758">
        <w:rPr>
          <w:lang w:val="en-GB"/>
        </w:rPr>
        <w:t xml:space="preserve"> Board is to resolve all issues related to the management </w:t>
      </w:r>
      <w:r w:rsidR="00063985">
        <w:rPr>
          <w:lang w:val="en-GB"/>
        </w:rPr>
        <w:t xml:space="preserve">of </w:t>
      </w:r>
      <w:r w:rsidRPr="00ED4758">
        <w:rPr>
          <w:lang w:val="en-GB"/>
        </w:rPr>
        <w:t xml:space="preserve">day-to-day </w:t>
      </w:r>
      <w:r w:rsidR="00CB3703" w:rsidRPr="00ED4758">
        <w:rPr>
          <w:lang w:val="en-GB"/>
        </w:rPr>
        <w:t>activities</w:t>
      </w:r>
      <w:r w:rsidR="00063985" w:rsidRPr="00063985">
        <w:rPr>
          <w:lang w:val="en-GB"/>
        </w:rPr>
        <w:t xml:space="preserve"> </w:t>
      </w:r>
      <w:r w:rsidR="00063985" w:rsidRPr="00ED4758">
        <w:rPr>
          <w:lang w:val="en-GB"/>
        </w:rPr>
        <w:t>of the Bank's</w:t>
      </w:r>
      <w:r w:rsidRPr="00ED4758">
        <w:rPr>
          <w:lang w:val="en-GB"/>
        </w:rPr>
        <w:t>, except those which fall within the exclusive competence of the General Meeting of Shareholders and the Supervisory Board.</w:t>
      </w:r>
    </w:p>
    <w:p w14:paraId="490B42AB" w14:textId="77777777" w:rsidR="00CB3703" w:rsidRPr="00ED4758" w:rsidRDefault="00CB3703" w:rsidP="00CB3703">
      <w:pPr>
        <w:ind w:firstLine="567"/>
        <w:jc w:val="both"/>
        <w:rPr>
          <w:lang w:val="en-GB"/>
        </w:rPr>
      </w:pPr>
    </w:p>
    <w:p w14:paraId="0CF7D81F" w14:textId="5BE5CE25" w:rsidR="00CB3703" w:rsidRPr="00ED4758" w:rsidRDefault="00CB3703" w:rsidP="00CB3703">
      <w:pPr>
        <w:jc w:val="both"/>
        <w:rPr>
          <w:i/>
          <w:u w:val="single"/>
          <w:lang w:val="en-GB"/>
        </w:rPr>
      </w:pPr>
      <w:r w:rsidRPr="00ED4758">
        <w:rPr>
          <w:i/>
          <w:u w:val="single"/>
          <w:lang w:val="en-GB"/>
        </w:rPr>
        <w:t>The composition of the Executive Board as of 01.01.2020:</w:t>
      </w:r>
    </w:p>
    <w:p w14:paraId="5FD02544" w14:textId="465AC7E8" w:rsidR="00A72B4A" w:rsidRPr="00ED4758" w:rsidRDefault="00CB3703" w:rsidP="00063985">
      <w:pPr>
        <w:ind w:firstLine="646"/>
        <w:jc w:val="both"/>
        <w:rPr>
          <w:iCs/>
          <w:lang w:val="en-GB"/>
        </w:rPr>
      </w:pPr>
      <w:r w:rsidRPr="00ED4758">
        <w:rPr>
          <w:iCs/>
          <w:lang w:val="en-GB"/>
        </w:rPr>
        <w:t>The Executive Board of 5 (five) members is elected by the Supervisory Board. The Exec</w:t>
      </w:r>
      <w:r w:rsidR="00A72B4A" w:rsidRPr="00ED4758">
        <w:rPr>
          <w:iCs/>
          <w:lang w:val="en-GB"/>
        </w:rPr>
        <w:t>u</w:t>
      </w:r>
      <w:r w:rsidRPr="00ED4758">
        <w:rPr>
          <w:iCs/>
          <w:lang w:val="en-GB"/>
        </w:rPr>
        <w:t xml:space="preserve">tive Board consists of the </w:t>
      </w:r>
      <w:r w:rsidR="00063985">
        <w:rPr>
          <w:iCs/>
          <w:lang w:val="en-GB"/>
        </w:rPr>
        <w:t>Chairman</w:t>
      </w:r>
      <w:r w:rsidRPr="00ED4758">
        <w:rPr>
          <w:iCs/>
          <w:lang w:val="en-GB"/>
        </w:rPr>
        <w:t xml:space="preserve"> and members who may be Deputy </w:t>
      </w:r>
      <w:r w:rsidR="00063985">
        <w:rPr>
          <w:iCs/>
          <w:lang w:val="en-GB"/>
        </w:rPr>
        <w:t>Chairman</w:t>
      </w:r>
      <w:r w:rsidRPr="00ED4758">
        <w:rPr>
          <w:iCs/>
          <w:lang w:val="en-GB"/>
        </w:rPr>
        <w:t xml:space="preserve"> of the Executive Board. The </w:t>
      </w:r>
      <w:r w:rsidR="00063985">
        <w:rPr>
          <w:iCs/>
          <w:lang w:val="en-GB"/>
        </w:rPr>
        <w:t>Chairman</w:t>
      </w:r>
      <w:r w:rsidRPr="00ED4758">
        <w:rPr>
          <w:iCs/>
          <w:lang w:val="en-GB"/>
        </w:rPr>
        <w:t xml:space="preserve">, the Deputy </w:t>
      </w:r>
      <w:r w:rsidR="00063985">
        <w:rPr>
          <w:iCs/>
          <w:lang w:val="en-GB"/>
        </w:rPr>
        <w:t>Chairman</w:t>
      </w:r>
      <w:r w:rsidRPr="00ED4758">
        <w:rPr>
          <w:iCs/>
          <w:lang w:val="en-GB"/>
        </w:rPr>
        <w:t xml:space="preserve"> and the members of the Executive Board are elected by the Supervisory Board and </w:t>
      </w:r>
      <w:r w:rsidR="00A72B4A" w:rsidRPr="00ED4758">
        <w:rPr>
          <w:iCs/>
          <w:lang w:val="en-GB"/>
        </w:rPr>
        <w:t xml:space="preserve">hold the positions of </w:t>
      </w:r>
      <w:r w:rsidR="00063985">
        <w:rPr>
          <w:iCs/>
          <w:lang w:val="en-GB"/>
        </w:rPr>
        <w:t xml:space="preserve">the </w:t>
      </w:r>
      <w:r w:rsidRPr="00ED4758">
        <w:rPr>
          <w:iCs/>
          <w:lang w:val="en-GB"/>
        </w:rPr>
        <w:t xml:space="preserve">members of the </w:t>
      </w:r>
      <w:r w:rsidR="00A72B4A" w:rsidRPr="00ED4758">
        <w:rPr>
          <w:iCs/>
          <w:lang w:val="en-GB"/>
        </w:rPr>
        <w:t>Executive</w:t>
      </w:r>
      <w:r w:rsidRPr="00ED4758">
        <w:rPr>
          <w:iCs/>
          <w:lang w:val="en-GB"/>
        </w:rPr>
        <w:t xml:space="preserve"> Board.</w:t>
      </w:r>
    </w:p>
    <w:p w14:paraId="6D11E47A" w14:textId="62CA6BA7" w:rsidR="00A72B4A" w:rsidRPr="00ED4758" w:rsidRDefault="00A72B4A" w:rsidP="00A72B4A">
      <w:pPr>
        <w:ind w:firstLine="567"/>
        <w:jc w:val="both"/>
        <w:rPr>
          <w:lang w:val="en-GB"/>
        </w:rPr>
      </w:pPr>
      <w:r w:rsidRPr="00ED4758">
        <w:rPr>
          <w:lang w:val="en-GB"/>
        </w:rPr>
        <w:t xml:space="preserve">The powers of the </w:t>
      </w:r>
      <w:r w:rsidR="00063985">
        <w:rPr>
          <w:lang w:val="en-GB"/>
        </w:rPr>
        <w:t>Chairman</w:t>
      </w:r>
      <w:r w:rsidRPr="00ED4758">
        <w:rPr>
          <w:lang w:val="en-GB"/>
        </w:rPr>
        <w:t xml:space="preserve"> and other members of the Executive Board may be terminated:</w:t>
      </w:r>
    </w:p>
    <w:p w14:paraId="62770A03" w14:textId="2B883D93" w:rsidR="00A72B4A" w:rsidRPr="00ED4758" w:rsidRDefault="00A72B4A" w:rsidP="0022284B">
      <w:pPr>
        <w:pStyle w:val="ListParagraph"/>
        <w:numPr>
          <w:ilvl w:val="0"/>
          <w:numId w:val="1"/>
        </w:numPr>
        <w:jc w:val="both"/>
        <w:rPr>
          <w:lang w:val="en-GB"/>
        </w:rPr>
      </w:pPr>
      <w:r w:rsidRPr="00ED4758">
        <w:rPr>
          <w:lang w:val="en-GB"/>
        </w:rPr>
        <w:t xml:space="preserve">by </w:t>
      </w:r>
      <w:r w:rsidR="00063985">
        <w:rPr>
          <w:lang w:val="en-GB"/>
        </w:rPr>
        <w:t xml:space="preserve">a </w:t>
      </w:r>
      <w:r w:rsidRPr="00ED4758">
        <w:rPr>
          <w:lang w:val="en-GB"/>
        </w:rPr>
        <w:t xml:space="preserve">decision of the Supervisory Board of the Bank, in compliance with the provisions of the employment </w:t>
      </w:r>
      <w:r w:rsidR="00063985">
        <w:rPr>
          <w:lang w:val="en-GB"/>
        </w:rPr>
        <w:t>agreement (</w:t>
      </w:r>
      <w:r w:rsidRPr="00ED4758">
        <w:rPr>
          <w:lang w:val="en-GB"/>
        </w:rPr>
        <w:t>contract</w:t>
      </w:r>
      <w:r w:rsidR="00063985">
        <w:rPr>
          <w:lang w:val="en-GB"/>
        </w:rPr>
        <w:t>)</w:t>
      </w:r>
      <w:r w:rsidRPr="00ED4758">
        <w:rPr>
          <w:lang w:val="en-GB"/>
        </w:rPr>
        <w:t xml:space="preserve"> concluded with the member and the legislation of Ukraine;</w:t>
      </w:r>
    </w:p>
    <w:p w14:paraId="0BC8124C" w14:textId="316516B2" w:rsidR="00A72B4A" w:rsidRPr="00ED4758" w:rsidRDefault="00A72B4A" w:rsidP="0022284B">
      <w:pPr>
        <w:pStyle w:val="ListParagraph"/>
        <w:numPr>
          <w:ilvl w:val="0"/>
          <w:numId w:val="1"/>
        </w:numPr>
        <w:jc w:val="both"/>
        <w:rPr>
          <w:lang w:val="en-GB"/>
        </w:rPr>
      </w:pPr>
      <w:r w:rsidRPr="00ED4758">
        <w:rPr>
          <w:lang w:val="en-GB"/>
        </w:rPr>
        <w:t>on the initiative of the relevant member of the Executive Board before the expiration of the contract concluded with him</w:t>
      </w:r>
      <w:r w:rsidR="00063985">
        <w:rPr>
          <w:lang w:val="en-GB"/>
        </w:rPr>
        <w:t>/her</w:t>
      </w:r>
      <w:r w:rsidRPr="00ED4758">
        <w:rPr>
          <w:lang w:val="en-GB"/>
        </w:rPr>
        <w:t xml:space="preserve"> in compliance with the provisions of the employment </w:t>
      </w:r>
      <w:r w:rsidR="00063985">
        <w:rPr>
          <w:lang w:val="en-GB"/>
        </w:rPr>
        <w:t>agreement</w:t>
      </w:r>
      <w:r w:rsidRPr="00ED4758">
        <w:rPr>
          <w:lang w:val="en-GB"/>
        </w:rPr>
        <w:t xml:space="preserve"> (contract) concluded and the legislation of Ukraine;</w:t>
      </w:r>
    </w:p>
    <w:p w14:paraId="1572B518" w14:textId="35954CC4" w:rsidR="00A72B4A" w:rsidRPr="00ED4758" w:rsidRDefault="00A72B4A" w:rsidP="0022284B">
      <w:pPr>
        <w:pStyle w:val="ListParagraph"/>
        <w:numPr>
          <w:ilvl w:val="0"/>
          <w:numId w:val="1"/>
        </w:numPr>
        <w:jc w:val="both"/>
        <w:rPr>
          <w:lang w:val="en-GB"/>
        </w:rPr>
      </w:pPr>
      <w:r w:rsidRPr="00ED4758">
        <w:rPr>
          <w:lang w:val="en-GB"/>
        </w:rPr>
        <w:t>by agreement between the parties;</w:t>
      </w:r>
    </w:p>
    <w:p w14:paraId="60D3DCFB" w14:textId="39AC392A" w:rsidR="00A72B4A" w:rsidRPr="00ED4758" w:rsidRDefault="00A72B4A" w:rsidP="0022284B">
      <w:pPr>
        <w:pStyle w:val="ListParagraph"/>
        <w:numPr>
          <w:ilvl w:val="0"/>
          <w:numId w:val="1"/>
        </w:numPr>
        <w:jc w:val="both"/>
        <w:rPr>
          <w:lang w:val="en-GB"/>
        </w:rPr>
      </w:pPr>
      <w:r w:rsidRPr="00ED4758">
        <w:rPr>
          <w:lang w:val="en-GB"/>
        </w:rPr>
        <w:t xml:space="preserve">in other </w:t>
      </w:r>
      <w:r w:rsidR="00063985" w:rsidRPr="00ED4758">
        <w:rPr>
          <w:lang w:val="en-GB"/>
        </w:rPr>
        <w:t>cases,</w:t>
      </w:r>
      <w:r w:rsidRPr="00ED4758">
        <w:rPr>
          <w:lang w:val="en-GB"/>
        </w:rPr>
        <w:t xml:space="preserve"> stipulated by legislation</w:t>
      </w:r>
      <w:r w:rsidR="00063985">
        <w:rPr>
          <w:lang w:val="en-GB"/>
        </w:rPr>
        <w:t xml:space="preserve"> in force</w:t>
      </w:r>
      <w:r w:rsidRPr="00ED4758">
        <w:rPr>
          <w:lang w:val="en-GB"/>
        </w:rPr>
        <w:t>.</w:t>
      </w:r>
    </w:p>
    <w:p w14:paraId="210F4F98" w14:textId="77777777" w:rsidR="00B45100" w:rsidRPr="00ED4758" w:rsidRDefault="00B45100" w:rsidP="00A72B4A">
      <w:pPr>
        <w:jc w:val="both"/>
        <w:rPr>
          <w:lang w:val="en-GB"/>
        </w:rPr>
      </w:pPr>
    </w:p>
    <w:p w14:paraId="1C7A2EAD" w14:textId="3D61B609" w:rsidR="00A72B4A" w:rsidRPr="00ED4758" w:rsidRDefault="00A72B4A" w:rsidP="00A72B4A">
      <w:pPr>
        <w:ind w:firstLine="567"/>
        <w:jc w:val="both"/>
        <w:rPr>
          <w:lang w:val="en-GB"/>
        </w:rPr>
      </w:pPr>
      <w:r w:rsidRPr="00ED4758">
        <w:rPr>
          <w:lang w:val="en-GB"/>
        </w:rPr>
        <w:t>During the reporting year, the composition of the Executive Board of the Bank was changed due to the termination of powers of the following members of the Executive Board</w:t>
      </w:r>
      <w:r w:rsidR="00063985" w:rsidRPr="00063985">
        <w:rPr>
          <w:lang w:val="en-GB"/>
        </w:rPr>
        <w:t xml:space="preserve"> </w:t>
      </w:r>
      <w:r w:rsidR="00063985" w:rsidRPr="00ED4758">
        <w:rPr>
          <w:lang w:val="en-GB"/>
        </w:rPr>
        <w:t>on their own volition</w:t>
      </w:r>
      <w:r w:rsidRPr="00ED4758">
        <w:rPr>
          <w:lang w:val="en-GB"/>
        </w:rPr>
        <w:t>:</w:t>
      </w:r>
    </w:p>
    <w:p w14:paraId="165D5DF8" w14:textId="3362561D" w:rsidR="00A72B4A" w:rsidRPr="00ED4758" w:rsidRDefault="00A72B4A" w:rsidP="0022284B">
      <w:pPr>
        <w:pStyle w:val="ListParagraph"/>
        <w:numPr>
          <w:ilvl w:val="0"/>
          <w:numId w:val="1"/>
        </w:numPr>
        <w:jc w:val="both"/>
        <w:rPr>
          <w:lang w:val="en-GB"/>
        </w:rPr>
      </w:pPr>
      <w:r w:rsidRPr="00ED4758">
        <w:rPr>
          <w:lang w:val="en-GB"/>
        </w:rPr>
        <w:t xml:space="preserve">Deputy </w:t>
      </w:r>
      <w:r w:rsidR="00063985">
        <w:rPr>
          <w:lang w:val="en-GB"/>
        </w:rPr>
        <w:t>Chairman</w:t>
      </w:r>
      <w:r w:rsidRPr="00ED4758">
        <w:rPr>
          <w:lang w:val="en-GB"/>
        </w:rPr>
        <w:t xml:space="preserve"> of the Board - </w:t>
      </w:r>
      <w:proofErr w:type="spellStart"/>
      <w:r w:rsidRPr="00ED4758">
        <w:rPr>
          <w:lang w:val="en-GB"/>
        </w:rPr>
        <w:t>Voloshanyuk</w:t>
      </w:r>
      <w:proofErr w:type="spellEnd"/>
      <w:r w:rsidRPr="00ED4758">
        <w:rPr>
          <w:lang w:val="en-GB"/>
        </w:rPr>
        <w:t xml:space="preserve"> Oleksandr </w:t>
      </w:r>
      <w:proofErr w:type="spellStart"/>
      <w:r w:rsidRPr="00ED4758">
        <w:rPr>
          <w:lang w:val="en-GB"/>
        </w:rPr>
        <w:t>Sergiyovych</w:t>
      </w:r>
      <w:proofErr w:type="spellEnd"/>
      <w:r w:rsidRPr="00ED4758">
        <w:rPr>
          <w:lang w:val="en-GB"/>
        </w:rPr>
        <w:t xml:space="preserve"> (until 16.10.2019);</w:t>
      </w:r>
    </w:p>
    <w:p w14:paraId="782F1CEB" w14:textId="153142D5" w:rsidR="00A72B4A" w:rsidRPr="00ED4758" w:rsidRDefault="00A72B4A" w:rsidP="0022284B">
      <w:pPr>
        <w:pStyle w:val="ListParagraph"/>
        <w:numPr>
          <w:ilvl w:val="0"/>
          <w:numId w:val="1"/>
        </w:numPr>
        <w:jc w:val="both"/>
        <w:rPr>
          <w:lang w:val="en-GB"/>
        </w:rPr>
      </w:pPr>
      <w:r w:rsidRPr="00ED4758">
        <w:rPr>
          <w:lang w:val="en-GB"/>
        </w:rPr>
        <w:t xml:space="preserve">Deputy </w:t>
      </w:r>
      <w:r w:rsidR="00063985">
        <w:rPr>
          <w:lang w:val="en-GB"/>
        </w:rPr>
        <w:t>Chairman</w:t>
      </w:r>
      <w:r w:rsidRPr="00ED4758">
        <w:rPr>
          <w:lang w:val="en-GB"/>
        </w:rPr>
        <w:t xml:space="preserve"> of the Board - </w:t>
      </w:r>
      <w:proofErr w:type="spellStart"/>
      <w:r w:rsidRPr="00ED4758">
        <w:rPr>
          <w:lang w:val="en-GB"/>
        </w:rPr>
        <w:t>Cherevko</w:t>
      </w:r>
      <w:proofErr w:type="spellEnd"/>
      <w:r w:rsidRPr="00ED4758">
        <w:rPr>
          <w:lang w:val="en-GB"/>
        </w:rPr>
        <w:t xml:space="preserve"> </w:t>
      </w:r>
      <w:proofErr w:type="spellStart"/>
      <w:r w:rsidRPr="00ED4758">
        <w:rPr>
          <w:lang w:val="en-GB"/>
        </w:rPr>
        <w:t>Nataliia</w:t>
      </w:r>
      <w:proofErr w:type="spellEnd"/>
      <w:r w:rsidRPr="00ED4758">
        <w:rPr>
          <w:lang w:val="en-GB"/>
        </w:rPr>
        <w:t xml:space="preserve"> </w:t>
      </w:r>
      <w:proofErr w:type="spellStart"/>
      <w:r w:rsidRPr="00ED4758">
        <w:rPr>
          <w:lang w:val="en-GB"/>
        </w:rPr>
        <w:t>Mykhaylivna</w:t>
      </w:r>
      <w:proofErr w:type="spellEnd"/>
      <w:r w:rsidRPr="00ED4758">
        <w:rPr>
          <w:lang w:val="en-GB"/>
        </w:rPr>
        <w:t xml:space="preserve"> (till 15.07.2019).</w:t>
      </w:r>
    </w:p>
    <w:p w14:paraId="42DEA485" w14:textId="77777777" w:rsidR="00955A01" w:rsidRPr="00ED4758" w:rsidRDefault="00955A01" w:rsidP="00BB34F9">
      <w:pPr>
        <w:ind w:firstLine="567"/>
        <w:jc w:val="both"/>
        <w:rPr>
          <w:lang w:val="en-GB"/>
        </w:rPr>
      </w:pPr>
    </w:p>
    <w:p w14:paraId="636D4B70" w14:textId="29397AFF" w:rsidR="00B45100" w:rsidRPr="00ED4758" w:rsidRDefault="00A72B4A" w:rsidP="00BB34F9">
      <w:pPr>
        <w:ind w:firstLine="567"/>
        <w:jc w:val="both"/>
        <w:rPr>
          <w:lang w:val="en-GB"/>
        </w:rPr>
      </w:pPr>
      <w:r w:rsidRPr="00ED4758">
        <w:rPr>
          <w:lang w:val="en-GB"/>
        </w:rPr>
        <w:t xml:space="preserve">As of </w:t>
      </w:r>
      <w:r w:rsidR="00955A01" w:rsidRPr="00ED4758">
        <w:rPr>
          <w:lang w:val="en-GB"/>
        </w:rPr>
        <w:t xml:space="preserve">01.01.2020 </w:t>
      </w:r>
      <w:r w:rsidRPr="00ED4758">
        <w:rPr>
          <w:lang w:val="en-GB"/>
        </w:rPr>
        <w:t xml:space="preserve">the composition of the Executive Board of the Bank is as follows: </w:t>
      </w:r>
    </w:p>
    <w:p w14:paraId="395A1D83" w14:textId="087084A0" w:rsidR="00A72B4A" w:rsidRPr="00ED4758" w:rsidRDefault="00063985" w:rsidP="0022284B">
      <w:pPr>
        <w:pStyle w:val="ListParagraph"/>
        <w:numPr>
          <w:ilvl w:val="0"/>
          <w:numId w:val="1"/>
        </w:numPr>
        <w:jc w:val="both"/>
        <w:rPr>
          <w:lang w:val="en-GB"/>
        </w:rPr>
      </w:pPr>
      <w:r>
        <w:rPr>
          <w:lang w:val="en-GB"/>
        </w:rPr>
        <w:t>Chairman</w:t>
      </w:r>
      <w:r w:rsidR="00A72B4A" w:rsidRPr="00ED4758">
        <w:rPr>
          <w:lang w:val="en-GB"/>
        </w:rPr>
        <w:t xml:space="preserve"> of the Executive Board – </w:t>
      </w:r>
      <w:proofErr w:type="spellStart"/>
      <w:r w:rsidR="00A72B4A" w:rsidRPr="00ED4758">
        <w:rPr>
          <w:lang w:val="en-GB"/>
        </w:rPr>
        <w:t>Loktionov</w:t>
      </w:r>
      <w:proofErr w:type="spellEnd"/>
      <w:r w:rsidR="00A72B4A" w:rsidRPr="00ED4758">
        <w:rPr>
          <w:lang w:val="en-GB"/>
        </w:rPr>
        <w:t xml:space="preserve"> Oleh </w:t>
      </w:r>
      <w:proofErr w:type="spellStart"/>
      <w:r w:rsidR="00A72B4A" w:rsidRPr="00ED4758">
        <w:rPr>
          <w:lang w:val="en-GB"/>
        </w:rPr>
        <w:t>Yuriyovych</w:t>
      </w:r>
      <w:proofErr w:type="spellEnd"/>
      <w:r w:rsidR="00A72B4A" w:rsidRPr="00ED4758">
        <w:rPr>
          <w:lang w:val="en-GB"/>
        </w:rPr>
        <w:t>;</w:t>
      </w:r>
    </w:p>
    <w:p w14:paraId="512B046E" w14:textId="203F7121" w:rsidR="00A72B4A" w:rsidRPr="00ED4758" w:rsidRDefault="00A72B4A" w:rsidP="0022284B">
      <w:pPr>
        <w:pStyle w:val="ListParagraph"/>
        <w:numPr>
          <w:ilvl w:val="0"/>
          <w:numId w:val="1"/>
        </w:numPr>
        <w:jc w:val="both"/>
        <w:rPr>
          <w:lang w:val="en-GB"/>
        </w:rPr>
      </w:pPr>
      <w:r w:rsidRPr="00ED4758">
        <w:rPr>
          <w:lang w:val="en-GB"/>
        </w:rPr>
        <w:t xml:space="preserve">Deputy </w:t>
      </w:r>
      <w:r w:rsidR="00063985">
        <w:rPr>
          <w:lang w:val="en-GB"/>
        </w:rPr>
        <w:t>Chairman</w:t>
      </w:r>
      <w:r w:rsidRPr="00ED4758">
        <w:rPr>
          <w:lang w:val="en-GB"/>
        </w:rPr>
        <w:t xml:space="preserve"> of the Executive Board – </w:t>
      </w:r>
      <w:proofErr w:type="spellStart"/>
      <w:r w:rsidRPr="00ED4758">
        <w:rPr>
          <w:lang w:val="en-GB"/>
        </w:rPr>
        <w:t>Tretiakov</w:t>
      </w:r>
      <w:proofErr w:type="spellEnd"/>
      <w:r w:rsidRPr="00ED4758">
        <w:rPr>
          <w:lang w:val="en-GB"/>
        </w:rPr>
        <w:t xml:space="preserve"> </w:t>
      </w:r>
      <w:proofErr w:type="spellStart"/>
      <w:r w:rsidRPr="00ED4758">
        <w:rPr>
          <w:lang w:val="en-GB"/>
        </w:rPr>
        <w:t>Vasyl</w:t>
      </w:r>
      <w:proofErr w:type="spellEnd"/>
      <w:r w:rsidRPr="00ED4758">
        <w:rPr>
          <w:lang w:val="en-GB"/>
        </w:rPr>
        <w:t xml:space="preserve"> </w:t>
      </w:r>
      <w:proofErr w:type="spellStart"/>
      <w:r w:rsidRPr="00ED4758">
        <w:rPr>
          <w:lang w:val="en-GB"/>
        </w:rPr>
        <w:t>Valeriyovych</w:t>
      </w:r>
      <w:proofErr w:type="spellEnd"/>
      <w:r w:rsidRPr="00ED4758">
        <w:rPr>
          <w:lang w:val="en-GB"/>
        </w:rPr>
        <w:t>;</w:t>
      </w:r>
    </w:p>
    <w:p w14:paraId="11DDBC5B" w14:textId="6F9D9C14" w:rsidR="00F84572" w:rsidRPr="00ED4758" w:rsidRDefault="00A72B4A" w:rsidP="0022284B">
      <w:pPr>
        <w:pStyle w:val="ListParagraph"/>
        <w:numPr>
          <w:ilvl w:val="0"/>
          <w:numId w:val="1"/>
        </w:numPr>
        <w:jc w:val="both"/>
        <w:rPr>
          <w:lang w:val="en-GB"/>
        </w:rPr>
      </w:pPr>
      <w:r w:rsidRPr="00ED4758">
        <w:rPr>
          <w:lang w:val="en-GB"/>
        </w:rPr>
        <w:lastRenderedPageBreak/>
        <w:t xml:space="preserve">Chief accountant, Member of the Executive Board – Zeleniuk </w:t>
      </w:r>
      <w:proofErr w:type="spellStart"/>
      <w:r w:rsidRPr="00ED4758">
        <w:rPr>
          <w:lang w:val="en-GB"/>
        </w:rPr>
        <w:t>Nataliia</w:t>
      </w:r>
      <w:proofErr w:type="spellEnd"/>
      <w:r w:rsidRPr="00ED4758">
        <w:rPr>
          <w:lang w:val="en-GB"/>
        </w:rPr>
        <w:t xml:space="preserve"> </w:t>
      </w:r>
      <w:proofErr w:type="spellStart"/>
      <w:r w:rsidRPr="00ED4758">
        <w:rPr>
          <w:lang w:val="en-GB"/>
        </w:rPr>
        <w:t>Oleksandrivna</w:t>
      </w:r>
      <w:proofErr w:type="spellEnd"/>
      <w:r w:rsidRPr="00ED4758">
        <w:rPr>
          <w:lang w:val="en-GB"/>
        </w:rPr>
        <w:t>.</w:t>
      </w:r>
    </w:p>
    <w:p w14:paraId="641395EE" w14:textId="77777777" w:rsidR="00A72B4A" w:rsidRPr="00ED4758" w:rsidRDefault="00A72B4A" w:rsidP="00BB34F9">
      <w:pPr>
        <w:autoSpaceDE w:val="0"/>
        <w:autoSpaceDN w:val="0"/>
        <w:adjustRightInd w:val="0"/>
        <w:ind w:firstLine="567"/>
        <w:jc w:val="both"/>
        <w:rPr>
          <w:lang w:val="en-GB"/>
        </w:rPr>
      </w:pPr>
    </w:p>
    <w:p w14:paraId="35C2E76A" w14:textId="4467AD4B" w:rsidR="00A72B4A" w:rsidRPr="00ED4758" w:rsidRDefault="00A72B4A" w:rsidP="00A72B4A">
      <w:pPr>
        <w:autoSpaceDE w:val="0"/>
        <w:autoSpaceDN w:val="0"/>
        <w:adjustRightInd w:val="0"/>
        <w:ind w:firstLine="567"/>
        <w:jc w:val="both"/>
        <w:rPr>
          <w:lang w:val="en-GB"/>
        </w:rPr>
      </w:pPr>
      <w:r w:rsidRPr="00ED4758">
        <w:rPr>
          <w:lang w:val="en-GB"/>
        </w:rPr>
        <w:t>The total amount of payments made to the members of the Executive Board of the Bank for 2019 amounted to UAH 2,174 thousand.</w:t>
      </w:r>
    </w:p>
    <w:p w14:paraId="1134AEB1" w14:textId="77777777" w:rsidR="00A72B4A" w:rsidRPr="00ED4758" w:rsidRDefault="00A72B4A" w:rsidP="00A72B4A">
      <w:pPr>
        <w:autoSpaceDE w:val="0"/>
        <w:autoSpaceDN w:val="0"/>
        <w:adjustRightInd w:val="0"/>
        <w:ind w:firstLine="567"/>
        <w:jc w:val="both"/>
        <w:rPr>
          <w:lang w:val="en-GB"/>
        </w:rPr>
      </w:pPr>
    </w:p>
    <w:p w14:paraId="5E0194EB" w14:textId="2C2944C6" w:rsidR="00856656" w:rsidRPr="00ED4758" w:rsidRDefault="00A72B4A" w:rsidP="00A72B4A">
      <w:pPr>
        <w:autoSpaceDE w:val="0"/>
        <w:autoSpaceDN w:val="0"/>
        <w:adjustRightInd w:val="0"/>
        <w:ind w:firstLine="567"/>
        <w:jc w:val="both"/>
        <w:rPr>
          <w:lang w:val="en-GB"/>
        </w:rPr>
      </w:pPr>
      <w:r w:rsidRPr="00ED4758">
        <w:rPr>
          <w:lang w:val="en-GB"/>
        </w:rPr>
        <w:t xml:space="preserve">During 2019, the Executive Board of the Bank decided on the issues related to Bank's </w:t>
      </w:r>
      <w:r w:rsidR="00622E3D">
        <w:rPr>
          <w:lang w:val="en-GB"/>
        </w:rPr>
        <w:t>day-to-day</w:t>
      </w:r>
      <w:r w:rsidRPr="00ED4758">
        <w:rPr>
          <w:lang w:val="en-GB"/>
        </w:rPr>
        <w:t xml:space="preserve"> activities, approval of internal bank regulations in accordance with its competence, determining the list of issues to be submitted to the Supervisory Board of the Bank and the General Meeting of Shareholders (including the increase of the </w:t>
      </w:r>
      <w:r w:rsidR="00622E3D" w:rsidRPr="00ED4758">
        <w:rPr>
          <w:lang w:val="en-GB"/>
        </w:rPr>
        <w:t>regulatory</w:t>
      </w:r>
      <w:r w:rsidRPr="00ED4758">
        <w:rPr>
          <w:lang w:val="en-GB"/>
        </w:rPr>
        <w:t xml:space="preserve"> capital), reviewing and approving financial and management reporting, a list of related parties and other issues. </w:t>
      </w:r>
    </w:p>
    <w:p w14:paraId="0F562301" w14:textId="77777777" w:rsidR="00B45100" w:rsidRPr="00ED4758" w:rsidRDefault="00B45100" w:rsidP="00BB34F9">
      <w:pPr>
        <w:ind w:firstLine="567"/>
        <w:jc w:val="both"/>
        <w:rPr>
          <w:highlight w:val="yellow"/>
          <w:lang w:val="en-GB"/>
        </w:rPr>
      </w:pPr>
    </w:p>
    <w:p w14:paraId="5988E6E3" w14:textId="706BD083" w:rsidR="003D3A9F" w:rsidRPr="00ED4758" w:rsidRDefault="003D3A9F" w:rsidP="003D3A9F">
      <w:pPr>
        <w:ind w:firstLine="567"/>
        <w:jc w:val="both"/>
        <w:rPr>
          <w:i/>
          <w:lang w:val="en-GB"/>
        </w:rPr>
      </w:pPr>
      <w:r w:rsidRPr="00ED4758">
        <w:rPr>
          <w:i/>
          <w:lang w:val="en-GB"/>
        </w:rPr>
        <w:t>The following committees have been established by the Executive Board of the Bank:</w:t>
      </w:r>
    </w:p>
    <w:p w14:paraId="740E748B" w14:textId="08C0667F" w:rsidR="003D3A9F" w:rsidRPr="00ED4758" w:rsidRDefault="003D3A9F" w:rsidP="003D3A9F">
      <w:pPr>
        <w:ind w:firstLine="567"/>
        <w:jc w:val="both"/>
        <w:rPr>
          <w:iCs/>
          <w:lang w:val="en-GB"/>
        </w:rPr>
      </w:pPr>
      <w:r w:rsidRPr="00ED4758">
        <w:rPr>
          <w:iCs/>
          <w:u w:val="single"/>
          <w:lang w:val="en-GB"/>
        </w:rPr>
        <w:t>The Credit Committee</w:t>
      </w:r>
      <w:r w:rsidRPr="00ED4758">
        <w:rPr>
          <w:iCs/>
          <w:lang w:val="en-GB"/>
        </w:rPr>
        <w:t>, the purpose of which is to create and maintain a qualitatively balanced and diversified credit and investment portfolio of the Bank, taking into account the approved strategy and credit policy of the Bank.</w:t>
      </w:r>
    </w:p>
    <w:p w14:paraId="55F496FD" w14:textId="46402AB5" w:rsidR="002E154D" w:rsidRPr="00ED4758" w:rsidRDefault="003D3A9F" w:rsidP="002E154D">
      <w:pPr>
        <w:ind w:firstLine="567"/>
        <w:jc w:val="both"/>
        <w:rPr>
          <w:iCs/>
          <w:lang w:val="en-GB"/>
        </w:rPr>
      </w:pPr>
      <w:r w:rsidRPr="00ED4758">
        <w:rPr>
          <w:iCs/>
          <w:lang w:val="en-GB"/>
        </w:rPr>
        <w:t>In the reporting year 2019, at meetings held at least once a month</w:t>
      </w:r>
      <w:r w:rsidR="00622E3D">
        <w:rPr>
          <w:iCs/>
          <w:lang w:val="en-GB"/>
        </w:rPr>
        <w:t>,</w:t>
      </w:r>
      <w:r w:rsidR="002E154D" w:rsidRPr="00ED4758">
        <w:rPr>
          <w:iCs/>
          <w:lang w:val="en-GB"/>
        </w:rPr>
        <w:t xml:space="preserve"> </w:t>
      </w:r>
      <w:r w:rsidRPr="00ED4758">
        <w:rPr>
          <w:iCs/>
          <w:lang w:val="en-GB"/>
        </w:rPr>
        <w:t>the Commit</w:t>
      </w:r>
      <w:r w:rsidR="002E154D" w:rsidRPr="00ED4758">
        <w:rPr>
          <w:iCs/>
          <w:lang w:val="en-GB"/>
        </w:rPr>
        <w:t xml:space="preserve">tee considered </w:t>
      </w:r>
      <w:r w:rsidRPr="00ED4758">
        <w:rPr>
          <w:iCs/>
          <w:lang w:val="en-GB"/>
        </w:rPr>
        <w:t xml:space="preserve">the issues of determining </w:t>
      </w:r>
      <w:r w:rsidR="002E154D" w:rsidRPr="00ED4758">
        <w:rPr>
          <w:iCs/>
          <w:lang w:val="en-GB"/>
        </w:rPr>
        <w:t xml:space="preserve">expected </w:t>
      </w:r>
      <w:r w:rsidRPr="00ED4758">
        <w:rPr>
          <w:iCs/>
          <w:lang w:val="en-GB"/>
        </w:rPr>
        <w:t xml:space="preserve">credit losses on assets </w:t>
      </w:r>
      <w:r w:rsidR="002E154D" w:rsidRPr="00ED4758">
        <w:rPr>
          <w:iCs/>
          <w:lang w:val="en-GB"/>
        </w:rPr>
        <w:t>and</w:t>
      </w:r>
      <w:r w:rsidRPr="00ED4758">
        <w:rPr>
          <w:iCs/>
          <w:lang w:val="en-GB"/>
        </w:rPr>
        <w:t xml:space="preserve"> </w:t>
      </w:r>
      <w:r w:rsidR="002E154D" w:rsidRPr="00ED4758">
        <w:rPr>
          <w:iCs/>
          <w:lang w:val="en-GB"/>
        </w:rPr>
        <w:t xml:space="preserve">operations of </w:t>
      </w:r>
      <w:r w:rsidRPr="00ED4758">
        <w:rPr>
          <w:iCs/>
          <w:lang w:val="en-GB"/>
        </w:rPr>
        <w:t xml:space="preserve">Bank in accordance with the requirements of international financial reporting standards </w:t>
      </w:r>
      <w:r w:rsidR="002E154D" w:rsidRPr="00ED4758">
        <w:rPr>
          <w:iCs/>
          <w:lang w:val="en-GB"/>
        </w:rPr>
        <w:t>as well as</w:t>
      </w:r>
      <w:r w:rsidRPr="00ED4758">
        <w:rPr>
          <w:iCs/>
          <w:lang w:val="en-GB"/>
        </w:rPr>
        <w:t xml:space="preserve"> the amount of credit risk in accordance with the requirements of the National Bank of Ukraine.</w:t>
      </w:r>
      <w:r w:rsidR="002E154D" w:rsidRPr="00ED4758">
        <w:rPr>
          <w:iCs/>
          <w:lang w:val="en-GB"/>
        </w:rPr>
        <w:t xml:space="preserve"> </w:t>
      </w:r>
    </w:p>
    <w:p w14:paraId="0198DA4D" w14:textId="77777777" w:rsidR="002E154D" w:rsidRPr="00ED4758" w:rsidRDefault="002E154D" w:rsidP="002E154D">
      <w:pPr>
        <w:ind w:firstLine="567"/>
        <w:jc w:val="both"/>
        <w:rPr>
          <w:iCs/>
          <w:lang w:val="en-GB"/>
        </w:rPr>
      </w:pPr>
    </w:p>
    <w:p w14:paraId="635FE379" w14:textId="235150E3" w:rsidR="002E154D" w:rsidRPr="00ED4758" w:rsidRDefault="002E154D" w:rsidP="002E154D">
      <w:pPr>
        <w:ind w:firstLine="567"/>
        <w:jc w:val="both"/>
        <w:rPr>
          <w:lang w:val="en-GB"/>
        </w:rPr>
      </w:pPr>
      <w:r w:rsidRPr="00ED4758">
        <w:rPr>
          <w:u w:val="single"/>
          <w:lang w:val="en-GB"/>
        </w:rPr>
        <w:t>The Risk, Asset and Liability Committee</w:t>
      </w:r>
      <w:r w:rsidRPr="00ED4758">
        <w:rPr>
          <w:lang w:val="en-GB"/>
        </w:rPr>
        <w:t>, the purpose of which is to:</w:t>
      </w:r>
    </w:p>
    <w:p w14:paraId="70A68321" w14:textId="25044BB2" w:rsidR="002E154D" w:rsidRPr="00ED4758" w:rsidRDefault="002E154D" w:rsidP="0022284B">
      <w:pPr>
        <w:pStyle w:val="BodyTextIndent"/>
        <w:numPr>
          <w:ilvl w:val="0"/>
          <w:numId w:val="10"/>
        </w:numPr>
        <w:spacing w:after="0"/>
        <w:ind w:left="1491" w:hanging="357"/>
        <w:jc w:val="both"/>
        <w:rPr>
          <w:lang w:val="en-GB"/>
        </w:rPr>
      </w:pPr>
      <w:r w:rsidRPr="00ED4758">
        <w:rPr>
          <w:lang w:val="en-GB"/>
        </w:rPr>
        <w:t xml:space="preserve">manage the risks to which the Bank is exposed </w:t>
      </w:r>
      <w:r w:rsidR="00622E3D">
        <w:rPr>
          <w:lang w:val="en-GB"/>
        </w:rPr>
        <w:t xml:space="preserve">to </w:t>
      </w:r>
      <w:r w:rsidRPr="00ED4758">
        <w:rPr>
          <w:lang w:val="en-GB"/>
        </w:rPr>
        <w:t>in its activities;</w:t>
      </w:r>
    </w:p>
    <w:p w14:paraId="42B7165C" w14:textId="028CE81B" w:rsidR="002E154D" w:rsidRPr="00ED4758" w:rsidRDefault="002E154D" w:rsidP="0022284B">
      <w:pPr>
        <w:pStyle w:val="BodyTextIndent"/>
        <w:numPr>
          <w:ilvl w:val="0"/>
          <w:numId w:val="10"/>
        </w:numPr>
        <w:spacing w:after="0"/>
        <w:ind w:left="1491" w:hanging="357"/>
        <w:jc w:val="both"/>
        <w:rPr>
          <w:lang w:val="en-GB"/>
        </w:rPr>
      </w:pPr>
      <w:r w:rsidRPr="00ED4758">
        <w:rPr>
          <w:lang w:val="en-GB"/>
        </w:rPr>
        <w:t>manage the Bank's assets and liabilities;</w:t>
      </w:r>
    </w:p>
    <w:p w14:paraId="726AE53E" w14:textId="5340F1C6" w:rsidR="002E154D" w:rsidRPr="00ED4758" w:rsidRDefault="002E154D" w:rsidP="0022284B">
      <w:pPr>
        <w:pStyle w:val="BodyTextIndent"/>
        <w:numPr>
          <w:ilvl w:val="0"/>
          <w:numId w:val="10"/>
        </w:numPr>
        <w:spacing w:after="0"/>
        <w:ind w:left="1491" w:hanging="357"/>
        <w:jc w:val="both"/>
        <w:rPr>
          <w:lang w:val="en-GB"/>
        </w:rPr>
      </w:pPr>
      <w:r w:rsidRPr="00ED4758">
        <w:rPr>
          <w:lang w:val="en-GB"/>
        </w:rPr>
        <w:t>ensure profitability of the Bank's operations.</w:t>
      </w:r>
    </w:p>
    <w:p w14:paraId="6EEE4E1F" w14:textId="01D99431" w:rsidR="002E154D" w:rsidRPr="00ED4758" w:rsidRDefault="002E154D" w:rsidP="002E154D">
      <w:pPr>
        <w:pStyle w:val="BodyTextIndent"/>
        <w:ind w:left="0" w:firstLine="567"/>
        <w:jc w:val="both"/>
        <w:rPr>
          <w:lang w:val="en-GB"/>
        </w:rPr>
      </w:pPr>
      <w:r w:rsidRPr="00ED4758">
        <w:rPr>
          <w:lang w:val="en-GB"/>
        </w:rPr>
        <w:t xml:space="preserve">During 2019 the Committee considered issues of asset and liabilities management within the approved budgets and </w:t>
      </w:r>
      <w:r w:rsidR="00622E3D" w:rsidRPr="00ED4758">
        <w:rPr>
          <w:lang w:val="en-GB"/>
        </w:rPr>
        <w:t>strategies</w:t>
      </w:r>
      <w:r w:rsidRPr="00ED4758">
        <w:rPr>
          <w:lang w:val="en-GB"/>
        </w:rPr>
        <w:t xml:space="preserve"> as well as issues of determining the fair value of financial instruments. </w:t>
      </w:r>
    </w:p>
    <w:p w14:paraId="4A92E73C" w14:textId="77777777" w:rsidR="002E154D" w:rsidRPr="00ED4758" w:rsidRDefault="002E154D" w:rsidP="00622E3D">
      <w:pPr>
        <w:pStyle w:val="BodyTextIndent"/>
        <w:spacing w:after="0"/>
        <w:ind w:left="0" w:firstLine="567"/>
        <w:jc w:val="both"/>
        <w:rPr>
          <w:snapToGrid w:val="0"/>
          <w:szCs w:val="22"/>
          <w:lang w:val="en-GB"/>
        </w:rPr>
      </w:pPr>
      <w:r w:rsidRPr="00ED4758">
        <w:rPr>
          <w:snapToGrid w:val="0"/>
          <w:szCs w:val="22"/>
          <w:u w:val="single"/>
          <w:lang w:val="en-GB"/>
        </w:rPr>
        <w:t>The Client Policy Committee (Tariff Committee)</w:t>
      </w:r>
      <w:r w:rsidRPr="00ED4758">
        <w:rPr>
          <w:snapToGrid w:val="0"/>
          <w:szCs w:val="22"/>
          <w:lang w:val="en-GB"/>
        </w:rPr>
        <w:t>, established to improve the Bank's client policy and facilitate its successful implementation in accordance with the Bank's prospective development plan.</w:t>
      </w:r>
    </w:p>
    <w:p w14:paraId="6BBA09CE" w14:textId="29DA69DC" w:rsidR="002E154D" w:rsidRDefault="002E154D" w:rsidP="00622E3D">
      <w:pPr>
        <w:pStyle w:val="BodyTextIndent"/>
        <w:spacing w:after="0"/>
        <w:ind w:left="0" w:firstLine="567"/>
        <w:jc w:val="both"/>
        <w:rPr>
          <w:snapToGrid w:val="0"/>
          <w:szCs w:val="22"/>
          <w:lang w:val="en-GB"/>
        </w:rPr>
      </w:pPr>
      <w:r w:rsidRPr="00ED4758">
        <w:rPr>
          <w:snapToGrid w:val="0"/>
          <w:szCs w:val="22"/>
          <w:lang w:val="en-GB"/>
        </w:rPr>
        <w:t>The Tariff Committee reviews the bank's tariff plans on a monthly basis to ensure that they are in line with market conditions and make</w:t>
      </w:r>
      <w:r w:rsidR="00622E3D">
        <w:rPr>
          <w:snapToGrid w:val="0"/>
          <w:szCs w:val="22"/>
          <w:lang w:val="en-GB"/>
        </w:rPr>
        <w:t>s</w:t>
      </w:r>
      <w:r w:rsidRPr="00ED4758">
        <w:rPr>
          <w:snapToGrid w:val="0"/>
          <w:szCs w:val="22"/>
          <w:lang w:val="en-GB"/>
        </w:rPr>
        <w:t xml:space="preserve"> changes as necessary.</w:t>
      </w:r>
    </w:p>
    <w:p w14:paraId="093DFB32" w14:textId="77777777" w:rsidR="00622E3D" w:rsidRPr="00ED4758" w:rsidRDefault="00622E3D" w:rsidP="00622E3D">
      <w:pPr>
        <w:pStyle w:val="BodyTextIndent"/>
        <w:spacing w:after="0"/>
        <w:ind w:left="0" w:firstLine="567"/>
        <w:jc w:val="both"/>
        <w:rPr>
          <w:lang w:val="en-GB"/>
        </w:rPr>
      </w:pPr>
    </w:p>
    <w:p w14:paraId="6BBB497F" w14:textId="3B1BD558" w:rsidR="002E154D" w:rsidRPr="00ED4758" w:rsidRDefault="002E154D" w:rsidP="002E154D">
      <w:pPr>
        <w:pStyle w:val="BodyTextIndent"/>
        <w:ind w:left="0" w:firstLine="567"/>
        <w:jc w:val="both"/>
        <w:rPr>
          <w:lang w:val="en-GB"/>
        </w:rPr>
      </w:pPr>
      <w:r w:rsidRPr="00ED4758">
        <w:rPr>
          <w:u w:val="single"/>
          <w:lang w:val="en-GB"/>
        </w:rPr>
        <w:t>The Technology Committee,</w:t>
      </w:r>
      <w:r w:rsidRPr="00622E3D">
        <w:rPr>
          <w:lang w:val="en-GB"/>
        </w:rPr>
        <w:t xml:space="preserve"> </w:t>
      </w:r>
      <w:r w:rsidRPr="00ED4758">
        <w:rPr>
          <w:lang w:val="en-GB"/>
        </w:rPr>
        <w:t>which was established to approve technologies for conducting banking operations and to define methods of internal control over their implementation in accordance with the legislation of Ukraine to minimise operating and technological risk.</w:t>
      </w:r>
    </w:p>
    <w:p w14:paraId="687E2114" w14:textId="4AD468C8" w:rsidR="002E154D" w:rsidRPr="00ED4758" w:rsidRDefault="002E154D" w:rsidP="002E154D">
      <w:pPr>
        <w:pStyle w:val="BodyTextIndent"/>
        <w:spacing w:after="0"/>
        <w:ind w:left="0" w:firstLine="567"/>
        <w:jc w:val="both"/>
        <w:rPr>
          <w:lang w:val="en-GB"/>
        </w:rPr>
      </w:pPr>
      <w:r w:rsidRPr="00ED4758">
        <w:rPr>
          <w:lang w:val="en-GB"/>
        </w:rPr>
        <w:t xml:space="preserve">In the reporting year 2019, the Committee considered issues of approving new and amending existing intra-bank </w:t>
      </w:r>
      <w:r w:rsidR="00622E3D">
        <w:rPr>
          <w:lang w:val="en-GB"/>
        </w:rPr>
        <w:t>regulations</w:t>
      </w:r>
      <w:r w:rsidRPr="00ED4758">
        <w:rPr>
          <w:lang w:val="en-GB"/>
        </w:rPr>
        <w:t>, with a further referral to the Executive/Supervisory Board for approval.</w:t>
      </w:r>
    </w:p>
    <w:p w14:paraId="009AD6D1" w14:textId="77777777" w:rsidR="00B45100" w:rsidRPr="00ED4758" w:rsidRDefault="00B45100" w:rsidP="00BB34F9">
      <w:pPr>
        <w:pStyle w:val="BodyTextIndent"/>
        <w:spacing w:after="0"/>
        <w:ind w:left="0" w:firstLine="567"/>
        <w:jc w:val="both"/>
        <w:rPr>
          <w:highlight w:val="yellow"/>
          <w:lang w:val="en-GB"/>
        </w:rPr>
      </w:pPr>
    </w:p>
    <w:p w14:paraId="4F2FC400" w14:textId="71D57AE4" w:rsidR="00B45100" w:rsidRPr="00ED4758" w:rsidRDefault="004D0608" w:rsidP="00BB34F9">
      <w:pPr>
        <w:ind w:firstLine="567"/>
        <w:rPr>
          <w:lang w:val="en-GB"/>
        </w:rPr>
      </w:pPr>
      <w:r>
        <w:rPr>
          <w:u w:val="single"/>
          <w:lang w:val="en-GB"/>
        </w:rPr>
        <w:t>The i</w:t>
      </w:r>
      <w:r w:rsidR="002E154D" w:rsidRPr="00ED4758">
        <w:rPr>
          <w:u w:val="single"/>
          <w:lang w:val="en-GB"/>
        </w:rPr>
        <w:t>nformation security committee, the main tasks of which is to:</w:t>
      </w:r>
    </w:p>
    <w:p w14:paraId="241AA3E2" w14:textId="694F70D6" w:rsidR="002E154D" w:rsidRPr="00ED4758" w:rsidRDefault="002E154D" w:rsidP="0022284B">
      <w:pPr>
        <w:pStyle w:val="ListParagraph"/>
        <w:numPr>
          <w:ilvl w:val="0"/>
          <w:numId w:val="2"/>
        </w:numPr>
        <w:tabs>
          <w:tab w:val="left" w:pos="0"/>
        </w:tabs>
        <w:jc w:val="both"/>
        <w:rPr>
          <w:lang w:val="en-GB"/>
        </w:rPr>
      </w:pPr>
      <w:r w:rsidRPr="00ED4758">
        <w:rPr>
          <w:lang w:val="en-GB"/>
        </w:rPr>
        <w:t>defin</w:t>
      </w:r>
      <w:r w:rsidR="00622E3D">
        <w:rPr>
          <w:lang w:val="en-GB"/>
        </w:rPr>
        <w:t>e</w:t>
      </w:r>
      <w:r w:rsidRPr="00ED4758">
        <w:rPr>
          <w:lang w:val="en-GB"/>
        </w:rPr>
        <w:t xml:space="preserve"> the information security tasks, their compliance with the requirements of </w:t>
      </w:r>
      <w:r w:rsidR="00793458" w:rsidRPr="00ED4758">
        <w:rPr>
          <w:lang w:val="en-GB"/>
        </w:rPr>
        <w:t xml:space="preserve">Ukrainian </w:t>
      </w:r>
      <w:r w:rsidRPr="00ED4758">
        <w:rPr>
          <w:lang w:val="en-GB"/>
        </w:rPr>
        <w:t>legislation, in particular the regulatory acts of the National Bank of Ukraine, and the internal documents of the Bank, as well as their integration into the critical business processes of the Bank;</w:t>
      </w:r>
    </w:p>
    <w:p w14:paraId="2D0DD89D" w14:textId="0A006B4C" w:rsidR="002E154D" w:rsidRPr="00ED4758" w:rsidRDefault="002E154D" w:rsidP="0022284B">
      <w:pPr>
        <w:pStyle w:val="ListParagraph"/>
        <w:numPr>
          <w:ilvl w:val="0"/>
          <w:numId w:val="2"/>
        </w:numPr>
        <w:tabs>
          <w:tab w:val="left" w:pos="0"/>
        </w:tabs>
        <w:jc w:val="both"/>
        <w:rPr>
          <w:lang w:val="en-GB"/>
        </w:rPr>
      </w:pPr>
      <w:r w:rsidRPr="00ED4758">
        <w:rPr>
          <w:lang w:val="en-GB"/>
        </w:rPr>
        <w:t>reviewing the efficiency of implementation and operation of ISMS</w:t>
      </w:r>
      <w:r w:rsidR="00793458" w:rsidRPr="00ED4758">
        <w:rPr>
          <w:lang w:val="en-GB"/>
        </w:rPr>
        <w:t xml:space="preserve"> (information security management system)</w:t>
      </w:r>
      <w:r w:rsidRPr="00ED4758">
        <w:rPr>
          <w:lang w:val="en-GB"/>
        </w:rPr>
        <w:t>;</w:t>
      </w:r>
    </w:p>
    <w:p w14:paraId="073BCBC4" w14:textId="2D1E93B5" w:rsidR="002E154D" w:rsidRPr="00ED4758" w:rsidRDefault="002E154D" w:rsidP="0022284B">
      <w:pPr>
        <w:pStyle w:val="ListParagraph"/>
        <w:numPr>
          <w:ilvl w:val="0"/>
          <w:numId w:val="2"/>
        </w:numPr>
        <w:tabs>
          <w:tab w:val="left" w:pos="0"/>
        </w:tabs>
        <w:jc w:val="both"/>
        <w:rPr>
          <w:lang w:val="en-GB"/>
        </w:rPr>
      </w:pPr>
      <w:r w:rsidRPr="00ED4758">
        <w:rPr>
          <w:lang w:val="en-GB"/>
        </w:rPr>
        <w:lastRenderedPageBreak/>
        <w:t xml:space="preserve">providing the Bank with sufficient resources to </w:t>
      </w:r>
      <w:r w:rsidR="004D0608" w:rsidRPr="00ED4758">
        <w:rPr>
          <w:lang w:val="en-GB"/>
        </w:rPr>
        <w:t>fulfil</w:t>
      </w:r>
      <w:r w:rsidRPr="00ED4758">
        <w:rPr>
          <w:lang w:val="en-GB"/>
        </w:rPr>
        <w:t xml:space="preserve"> information security tasks;</w:t>
      </w:r>
    </w:p>
    <w:p w14:paraId="1C04D1AE" w14:textId="547456A3" w:rsidR="002E154D" w:rsidRPr="00ED4758" w:rsidRDefault="002E154D" w:rsidP="0022284B">
      <w:pPr>
        <w:pStyle w:val="ListParagraph"/>
        <w:numPr>
          <w:ilvl w:val="0"/>
          <w:numId w:val="2"/>
        </w:numPr>
        <w:tabs>
          <w:tab w:val="left" w:pos="0"/>
        </w:tabs>
        <w:jc w:val="both"/>
        <w:rPr>
          <w:lang w:val="en-GB"/>
        </w:rPr>
      </w:pPr>
      <w:r w:rsidRPr="00ED4758">
        <w:rPr>
          <w:lang w:val="en-GB"/>
        </w:rPr>
        <w:t xml:space="preserve">coordination of joint activities of the Bank's structural </w:t>
      </w:r>
      <w:r w:rsidR="004D0608">
        <w:rPr>
          <w:lang w:val="en-GB"/>
        </w:rPr>
        <w:t>departments</w:t>
      </w:r>
      <w:r w:rsidRPr="00ED4758">
        <w:rPr>
          <w:lang w:val="en-GB"/>
        </w:rPr>
        <w:t>, where necessary by third parties, to ensure information security;</w:t>
      </w:r>
    </w:p>
    <w:p w14:paraId="7FECD1E1" w14:textId="52E7E434" w:rsidR="002E154D" w:rsidRPr="00ED4758" w:rsidRDefault="002E154D" w:rsidP="0022284B">
      <w:pPr>
        <w:pStyle w:val="ListParagraph"/>
        <w:numPr>
          <w:ilvl w:val="0"/>
          <w:numId w:val="2"/>
        </w:numPr>
        <w:tabs>
          <w:tab w:val="left" w:pos="0"/>
        </w:tabs>
        <w:jc w:val="both"/>
        <w:rPr>
          <w:lang w:val="en-GB"/>
        </w:rPr>
      </w:pPr>
      <w:r w:rsidRPr="00ED4758">
        <w:rPr>
          <w:lang w:val="en-GB"/>
        </w:rPr>
        <w:t xml:space="preserve">carrying out practical measures to raise awareness of the Bank's employees </w:t>
      </w:r>
      <w:r w:rsidR="004D0608">
        <w:rPr>
          <w:lang w:val="en-GB"/>
        </w:rPr>
        <w:t>of</w:t>
      </w:r>
      <w:r w:rsidRPr="00ED4758">
        <w:rPr>
          <w:lang w:val="en-GB"/>
        </w:rPr>
        <w:t xml:space="preserve"> information security issues.</w:t>
      </w:r>
    </w:p>
    <w:p w14:paraId="24232667" w14:textId="5B8DA734" w:rsidR="00B45100" w:rsidRPr="00ED4758" w:rsidRDefault="00793458" w:rsidP="00425C5C">
      <w:pPr>
        <w:tabs>
          <w:tab w:val="left" w:pos="0"/>
        </w:tabs>
        <w:jc w:val="both"/>
        <w:rPr>
          <w:lang w:val="en-GB"/>
        </w:rPr>
      </w:pPr>
      <w:r w:rsidRPr="00ED4758">
        <w:rPr>
          <w:lang w:val="en-GB"/>
        </w:rPr>
        <w:t xml:space="preserve">During the reporting year, the Committee considered issues regarding the functioning of ISMS within the framework of </w:t>
      </w:r>
      <w:r w:rsidR="004D0608">
        <w:rPr>
          <w:lang w:val="en-GB"/>
        </w:rPr>
        <w:t xml:space="preserve">the </w:t>
      </w:r>
      <w:r w:rsidRPr="00ED4758">
        <w:rPr>
          <w:lang w:val="en-GB"/>
        </w:rPr>
        <w:t xml:space="preserve">defined policy for managing information security risks and </w:t>
      </w:r>
      <w:r w:rsidR="004D0608">
        <w:rPr>
          <w:lang w:val="en-GB"/>
        </w:rPr>
        <w:t xml:space="preserve">issues regarding </w:t>
      </w:r>
      <w:r w:rsidRPr="00ED4758">
        <w:rPr>
          <w:lang w:val="en-GB"/>
        </w:rPr>
        <w:t>meeting the requirements of the current legislation on these issues.</w:t>
      </w:r>
    </w:p>
    <w:p w14:paraId="6F09A7EC" w14:textId="4DA1F50F" w:rsidR="00793458" w:rsidRPr="00ED4758" w:rsidRDefault="004D0608" w:rsidP="00BB34F9">
      <w:pPr>
        <w:pStyle w:val="NormalWeb"/>
        <w:tabs>
          <w:tab w:val="left" w:pos="0"/>
          <w:tab w:val="left" w:pos="426"/>
        </w:tabs>
        <w:spacing w:after="120" w:afterAutospacing="0"/>
        <w:ind w:firstLine="567"/>
        <w:jc w:val="both"/>
        <w:rPr>
          <w:color w:val="000000"/>
          <w:lang w:val="en-GB"/>
        </w:rPr>
      </w:pPr>
      <w:r>
        <w:rPr>
          <w:color w:val="000000"/>
          <w:u w:val="single"/>
          <w:lang w:val="en-GB"/>
        </w:rPr>
        <w:t>The p</w:t>
      </w:r>
      <w:r w:rsidR="00793458" w:rsidRPr="00ED4758">
        <w:rPr>
          <w:color w:val="000000"/>
          <w:u w:val="single"/>
          <w:lang w:val="en-GB"/>
        </w:rPr>
        <w:t>rocurement committee</w:t>
      </w:r>
      <w:r w:rsidR="00B45100" w:rsidRPr="00ED4758">
        <w:rPr>
          <w:color w:val="000000"/>
          <w:lang w:val="en-GB"/>
        </w:rPr>
        <w:t xml:space="preserve">, </w:t>
      </w:r>
      <w:r w:rsidR="00793458" w:rsidRPr="00ED4758">
        <w:rPr>
          <w:color w:val="000000"/>
          <w:lang w:val="en-GB"/>
        </w:rPr>
        <w:t xml:space="preserve">the main task of which is development and </w:t>
      </w:r>
      <w:r>
        <w:rPr>
          <w:color w:val="000000"/>
          <w:lang w:val="en-GB"/>
        </w:rPr>
        <w:t>provision</w:t>
      </w:r>
      <w:r w:rsidR="00793458" w:rsidRPr="00ED4758">
        <w:rPr>
          <w:color w:val="000000"/>
          <w:lang w:val="en-GB"/>
        </w:rPr>
        <w:t xml:space="preserve"> of measures to identify the best supplier </w:t>
      </w:r>
      <w:r>
        <w:rPr>
          <w:color w:val="000000"/>
          <w:lang w:val="en-GB"/>
        </w:rPr>
        <w:t>at</w:t>
      </w:r>
      <w:r w:rsidR="00793458" w:rsidRPr="00ED4758">
        <w:rPr>
          <w:color w:val="000000"/>
          <w:lang w:val="en-GB"/>
        </w:rPr>
        <w:t xml:space="preserve"> procurement of goods, works and services. During the reporting year, the Committee considered the issues of concluding contracts for the audit of the Bank's financial statements for 2019, with the further submission of the </w:t>
      </w:r>
      <w:r w:rsidR="00425C5C" w:rsidRPr="00ED4758">
        <w:rPr>
          <w:color w:val="000000"/>
          <w:lang w:val="en-GB"/>
        </w:rPr>
        <w:t>matter</w:t>
      </w:r>
      <w:r w:rsidR="00793458" w:rsidRPr="00ED4758">
        <w:rPr>
          <w:color w:val="000000"/>
          <w:lang w:val="en-GB"/>
        </w:rPr>
        <w:t xml:space="preserve"> to the Supervisory Board of the Bank, the acquisition of software for banking operations and other issues </w:t>
      </w:r>
      <w:r w:rsidR="00425C5C" w:rsidRPr="00ED4758">
        <w:rPr>
          <w:color w:val="000000"/>
          <w:lang w:val="en-GB"/>
        </w:rPr>
        <w:t xml:space="preserve">of </w:t>
      </w:r>
      <w:r w:rsidR="00793458" w:rsidRPr="00ED4758">
        <w:rPr>
          <w:color w:val="000000"/>
          <w:lang w:val="en-GB"/>
        </w:rPr>
        <w:t xml:space="preserve">conclusion of contracts </w:t>
      </w:r>
      <w:r w:rsidR="00425C5C" w:rsidRPr="00ED4758">
        <w:rPr>
          <w:color w:val="000000"/>
          <w:lang w:val="en-GB"/>
        </w:rPr>
        <w:t>for the purpose of</w:t>
      </w:r>
      <w:r w:rsidR="00793458" w:rsidRPr="00ED4758">
        <w:rPr>
          <w:color w:val="000000"/>
          <w:lang w:val="en-GB"/>
        </w:rPr>
        <w:t xml:space="preserve"> ensuring the functioning of the Bank.</w:t>
      </w:r>
    </w:p>
    <w:p w14:paraId="617A5E1E" w14:textId="77777777" w:rsidR="00425C5C" w:rsidRPr="00ED4758" w:rsidRDefault="00425C5C" w:rsidP="00425C5C">
      <w:pPr>
        <w:jc w:val="both"/>
        <w:rPr>
          <w:i/>
          <w:iCs/>
          <w:u w:val="single"/>
          <w:lang w:val="en-GB"/>
        </w:rPr>
      </w:pPr>
      <w:r w:rsidRPr="00ED4758">
        <w:rPr>
          <w:i/>
          <w:iCs/>
          <w:u w:val="single"/>
          <w:lang w:val="en-GB"/>
        </w:rPr>
        <w:t>Description of the main characteristics of internal control and risk management systems:</w:t>
      </w:r>
    </w:p>
    <w:p w14:paraId="2E798F5F" w14:textId="070D1B36" w:rsidR="00425C5C" w:rsidRPr="00ED4758" w:rsidRDefault="00425C5C" w:rsidP="00425C5C">
      <w:pPr>
        <w:ind w:firstLine="567"/>
        <w:jc w:val="both"/>
        <w:rPr>
          <w:lang w:val="en-GB"/>
        </w:rPr>
      </w:pPr>
      <w:r w:rsidRPr="00ED4758">
        <w:rPr>
          <w:lang w:val="en-GB"/>
        </w:rPr>
        <w:t>The Bank has developed and approved the necessary internal documents governing the organisation and functioning of the internal control and management system and minimising the risks to which the Bank is exposed in its activities.</w:t>
      </w:r>
    </w:p>
    <w:p w14:paraId="631BDAD6" w14:textId="3D348806" w:rsidR="00425C5C" w:rsidRPr="00ED4758" w:rsidRDefault="00425C5C" w:rsidP="00425C5C">
      <w:pPr>
        <w:ind w:firstLine="567"/>
        <w:jc w:val="both"/>
        <w:rPr>
          <w:lang w:val="en-GB"/>
        </w:rPr>
      </w:pPr>
      <w:r w:rsidRPr="00ED4758">
        <w:rPr>
          <w:lang w:val="en-GB"/>
        </w:rPr>
        <w:t>The Bank has implemented and operates an internal control system that complies with the following principles: efficiency and effectiveness, allocation of responsibilities, comprehensiveness and timeliness, independence and confidentiality,</w:t>
      </w:r>
      <w:r w:rsidR="009C49A9">
        <w:rPr>
          <w:lang w:val="en-GB"/>
        </w:rPr>
        <w:t xml:space="preserve"> and </w:t>
      </w:r>
      <w:r w:rsidRPr="00ED4758">
        <w:rPr>
          <w:lang w:val="en-GB"/>
        </w:rPr>
        <w:t>which ensures procedures of internal control over the day-to-day operations of the Bank.</w:t>
      </w:r>
    </w:p>
    <w:p w14:paraId="27E48D8C" w14:textId="5D2ED2C2" w:rsidR="000470B1" w:rsidRPr="00ED4758" w:rsidRDefault="000470B1" w:rsidP="000470B1">
      <w:pPr>
        <w:ind w:firstLine="644"/>
        <w:jc w:val="both"/>
        <w:rPr>
          <w:lang w:val="en-GB"/>
        </w:rPr>
      </w:pPr>
      <w:r w:rsidRPr="00ED4758">
        <w:rPr>
          <w:lang w:val="en-GB"/>
        </w:rPr>
        <w:t xml:space="preserve">Internal control procedures are properly documented and involve at least three steps: developing control policies and procedures, reviewing compliance with such policies and procedures and monitoring their </w:t>
      </w:r>
      <w:r w:rsidR="009C49A9">
        <w:rPr>
          <w:lang w:val="en-GB"/>
        </w:rPr>
        <w:t>efficiency</w:t>
      </w:r>
      <w:r w:rsidRPr="00ED4758">
        <w:rPr>
          <w:lang w:val="en-GB"/>
        </w:rPr>
        <w:t>.</w:t>
      </w:r>
    </w:p>
    <w:p w14:paraId="0617011D" w14:textId="77777777" w:rsidR="000470B1" w:rsidRPr="00ED4758" w:rsidRDefault="000470B1" w:rsidP="000470B1">
      <w:pPr>
        <w:ind w:firstLine="644"/>
        <w:jc w:val="both"/>
        <w:rPr>
          <w:lang w:val="en-GB"/>
        </w:rPr>
      </w:pPr>
      <w:r w:rsidRPr="00ED4758">
        <w:rPr>
          <w:lang w:val="en-GB"/>
        </w:rPr>
        <w:t> The Bank introduces internal control procedures that provide for:</w:t>
      </w:r>
    </w:p>
    <w:p w14:paraId="3B92736D" w14:textId="7EB1C650" w:rsidR="000470B1" w:rsidRPr="00ED4758" w:rsidRDefault="000470B1" w:rsidP="000470B1">
      <w:pPr>
        <w:ind w:firstLine="644"/>
        <w:jc w:val="both"/>
        <w:rPr>
          <w:lang w:val="en-GB"/>
        </w:rPr>
      </w:pPr>
      <w:r w:rsidRPr="00ED4758">
        <w:rPr>
          <w:lang w:val="en-GB"/>
        </w:rPr>
        <w:t xml:space="preserve">- reporting to the Supervisory and the Executive Boards of the Bank. In accordance with the allocation of functional responsibilities, the management of the Bank continually receive and analyse reports on the </w:t>
      </w:r>
      <w:r w:rsidR="004D0608" w:rsidRPr="00ED4758">
        <w:rPr>
          <w:lang w:val="en-GB"/>
        </w:rPr>
        <w:t>fulfilment</w:t>
      </w:r>
      <w:r w:rsidRPr="00ED4758">
        <w:rPr>
          <w:lang w:val="en-GB"/>
        </w:rPr>
        <w:t xml:space="preserve"> of the set goals in order to determine whether the actual financial results correspond to the planned indicators;</w:t>
      </w:r>
    </w:p>
    <w:p w14:paraId="7C62F7C8" w14:textId="6740DF40" w:rsidR="000470B1" w:rsidRPr="00ED4758" w:rsidRDefault="000470B1" w:rsidP="000470B1">
      <w:pPr>
        <w:ind w:firstLine="644"/>
        <w:jc w:val="both"/>
        <w:rPr>
          <w:lang w:val="en-GB"/>
        </w:rPr>
      </w:pPr>
      <w:r w:rsidRPr="00ED4758">
        <w:rPr>
          <w:lang w:val="en-GB"/>
        </w:rPr>
        <w:t>- multilevel control over activities of the Bank</w:t>
      </w:r>
      <w:r w:rsidR="009C49A9">
        <w:rPr>
          <w:lang w:val="en-GB"/>
        </w:rPr>
        <w:t>: s</w:t>
      </w:r>
      <w:r w:rsidRPr="00ED4758">
        <w:rPr>
          <w:lang w:val="en-GB"/>
        </w:rPr>
        <w:t>upervision by heads of structural departments of performance by employees of their functional duties; control of the Executive Board of the Bank over the activities of the structural departments of the Bank; control by the Supervisory Board of the Bank over the activities of the Executive Board;</w:t>
      </w:r>
    </w:p>
    <w:p w14:paraId="7BC8B607" w14:textId="6933EFF7" w:rsidR="000470B1" w:rsidRPr="00ED4758" w:rsidRDefault="000470B1" w:rsidP="000470B1">
      <w:pPr>
        <w:ind w:firstLine="644"/>
        <w:jc w:val="both"/>
        <w:rPr>
          <w:lang w:val="en-GB"/>
        </w:rPr>
      </w:pPr>
      <w:r w:rsidRPr="00ED4758">
        <w:rPr>
          <w:lang w:val="en-GB"/>
        </w:rPr>
        <w:t>- list of measures (actions) of the Bank to ensure the control over the availability of the Bank's assets</w:t>
      </w:r>
      <w:r w:rsidR="00C003EA" w:rsidRPr="00ED4758">
        <w:rPr>
          <w:lang w:val="en-GB"/>
        </w:rPr>
        <w:t>, which</w:t>
      </w:r>
      <w:r w:rsidRPr="00ED4758">
        <w:rPr>
          <w:lang w:val="en-GB"/>
        </w:rPr>
        <w:t xml:space="preserve"> includ</w:t>
      </w:r>
      <w:r w:rsidR="00C003EA" w:rsidRPr="00ED4758">
        <w:rPr>
          <w:lang w:val="en-GB"/>
        </w:rPr>
        <w:t>e</w:t>
      </w:r>
      <w:r w:rsidRPr="00ED4758">
        <w:rPr>
          <w:lang w:val="en-GB"/>
        </w:rPr>
        <w:t xml:space="preserve"> periodic inventory, double control, restricted access to assets;</w:t>
      </w:r>
    </w:p>
    <w:p w14:paraId="5DFC2CD7" w14:textId="41281750" w:rsidR="000470B1" w:rsidRPr="00ED4758" w:rsidRDefault="000470B1" w:rsidP="000470B1">
      <w:pPr>
        <w:ind w:firstLine="644"/>
        <w:jc w:val="both"/>
        <w:rPr>
          <w:lang w:val="en-GB"/>
        </w:rPr>
      </w:pPr>
      <w:r w:rsidRPr="00ED4758">
        <w:rPr>
          <w:lang w:val="en-GB"/>
        </w:rPr>
        <w:t xml:space="preserve">- a list of measures (actions) of the Bank to ensure access control to electronic banking systems, databases and software, </w:t>
      </w:r>
      <w:r w:rsidR="00C003EA" w:rsidRPr="00ED4758">
        <w:rPr>
          <w:lang w:val="en-GB"/>
        </w:rPr>
        <w:t xml:space="preserve">which </w:t>
      </w:r>
      <w:r w:rsidRPr="00ED4758">
        <w:rPr>
          <w:lang w:val="en-GB"/>
        </w:rPr>
        <w:t>includ</w:t>
      </w:r>
      <w:r w:rsidR="00C003EA" w:rsidRPr="00ED4758">
        <w:rPr>
          <w:lang w:val="en-GB"/>
        </w:rPr>
        <w:t>es</w:t>
      </w:r>
      <w:r w:rsidRPr="00ED4758">
        <w:rPr>
          <w:lang w:val="en-GB"/>
        </w:rPr>
        <w:t xml:space="preserve"> the development of </w:t>
      </w:r>
      <w:r w:rsidR="009C49A9">
        <w:rPr>
          <w:lang w:val="en-GB"/>
        </w:rPr>
        <w:t>policies</w:t>
      </w:r>
      <w:r w:rsidRPr="00ED4758">
        <w:rPr>
          <w:lang w:val="en-GB"/>
        </w:rPr>
        <w:t xml:space="preserve"> and procedures for granting </w:t>
      </w:r>
      <w:r w:rsidR="00C003EA" w:rsidRPr="00ED4758">
        <w:rPr>
          <w:lang w:val="en-GB"/>
        </w:rPr>
        <w:t>respective</w:t>
      </w:r>
      <w:r w:rsidRPr="00ED4758">
        <w:rPr>
          <w:lang w:val="en-GB"/>
        </w:rPr>
        <w:t xml:space="preserve"> permits;</w:t>
      </w:r>
    </w:p>
    <w:p w14:paraId="2E512F84" w14:textId="72EEDF34" w:rsidR="000470B1" w:rsidRPr="00ED4758" w:rsidRDefault="000470B1" w:rsidP="000470B1">
      <w:pPr>
        <w:ind w:firstLine="644"/>
        <w:jc w:val="both"/>
        <w:rPr>
          <w:lang w:val="en-GB"/>
        </w:rPr>
      </w:pPr>
      <w:r w:rsidRPr="00ED4758">
        <w:rPr>
          <w:lang w:val="en-GB"/>
        </w:rPr>
        <w:t>- a list of measures (actions) of the Bank to ensure control over access to information containing Bank secre</w:t>
      </w:r>
      <w:r w:rsidR="00C003EA" w:rsidRPr="00ED4758">
        <w:rPr>
          <w:lang w:val="en-GB"/>
        </w:rPr>
        <w:t>ts</w:t>
      </w:r>
      <w:r w:rsidRPr="00ED4758">
        <w:rPr>
          <w:lang w:val="en-GB"/>
        </w:rPr>
        <w:t xml:space="preserve">, </w:t>
      </w:r>
      <w:r w:rsidR="00C003EA" w:rsidRPr="00ED4758">
        <w:rPr>
          <w:lang w:val="en-GB"/>
        </w:rPr>
        <w:t>which includes</w:t>
      </w:r>
      <w:r w:rsidRPr="00ED4758">
        <w:rPr>
          <w:lang w:val="en-GB"/>
        </w:rPr>
        <w:t xml:space="preserve"> the development of </w:t>
      </w:r>
      <w:r w:rsidR="009C49A9">
        <w:rPr>
          <w:lang w:val="en-GB"/>
        </w:rPr>
        <w:t>policies</w:t>
      </w:r>
      <w:r w:rsidRPr="00ED4758">
        <w:rPr>
          <w:lang w:val="en-GB"/>
        </w:rPr>
        <w:t xml:space="preserve"> and procedures for granting access;</w:t>
      </w:r>
    </w:p>
    <w:p w14:paraId="7B9894A5" w14:textId="4B19B2AB" w:rsidR="000470B1" w:rsidRPr="00ED4758" w:rsidRDefault="000470B1" w:rsidP="000470B1">
      <w:pPr>
        <w:ind w:firstLine="644"/>
        <w:jc w:val="both"/>
        <w:rPr>
          <w:lang w:val="en-GB"/>
        </w:rPr>
      </w:pPr>
      <w:r w:rsidRPr="00ED4758">
        <w:rPr>
          <w:lang w:val="en-GB"/>
        </w:rPr>
        <w:t xml:space="preserve">- a list of measures (actions) of the Bank to ensure control over the access of the Bank's employees to carrying out the Bank's operations, including the development of </w:t>
      </w:r>
      <w:r w:rsidR="009C49A9">
        <w:rPr>
          <w:lang w:val="en-GB"/>
        </w:rPr>
        <w:t>policies</w:t>
      </w:r>
      <w:r w:rsidRPr="00ED4758">
        <w:rPr>
          <w:lang w:val="en-GB"/>
        </w:rPr>
        <w:t xml:space="preserve"> and procedures for granting access;</w:t>
      </w:r>
    </w:p>
    <w:p w14:paraId="278B78E7" w14:textId="5174BC3F" w:rsidR="000470B1" w:rsidRPr="00ED4758" w:rsidRDefault="000470B1" w:rsidP="000470B1">
      <w:pPr>
        <w:ind w:firstLine="644"/>
        <w:jc w:val="both"/>
        <w:rPr>
          <w:lang w:val="en-GB"/>
        </w:rPr>
      </w:pPr>
      <w:r w:rsidRPr="00ED4758">
        <w:rPr>
          <w:lang w:val="en-GB"/>
        </w:rPr>
        <w:t xml:space="preserve">- check </w:t>
      </w:r>
      <w:r w:rsidR="00C003EA" w:rsidRPr="00ED4758">
        <w:rPr>
          <w:lang w:val="en-GB"/>
        </w:rPr>
        <w:t xml:space="preserve">of </w:t>
      </w:r>
      <w:r w:rsidRPr="00ED4758">
        <w:rPr>
          <w:lang w:val="en-GB"/>
        </w:rPr>
        <w:t>compliance with the established limits and restrictions;</w:t>
      </w:r>
    </w:p>
    <w:p w14:paraId="2CA9EC3E" w14:textId="518DC313" w:rsidR="000470B1" w:rsidRPr="00ED4758" w:rsidRDefault="000470B1" w:rsidP="000470B1">
      <w:pPr>
        <w:ind w:firstLine="644"/>
        <w:jc w:val="both"/>
        <w:rPr>
          <w:lang w:val="en-GB"/>
        </w:rPr>
      </w:pPr>
      <w:r w:rsidRPr="00ED4758">
        <w:rPr>
          <w:lang w:val="en-GB"/>
        </w:rPr>
        <w:t xml:space="preserve">- constant assessment of the adequacy and </w:t>
      </w:r>
      <w:r w:rsidR="009C49A9">
        <w:rPr>
          <w:lang w:val="en-GB"/>
        </w:rPr>
        <w:t>efficiency</w:t>
      </w:r>
      <w:r w:rsidRPr="00ED4758">
        <w:rPr>
          <w:lang w:val="en-GB"/>
        </w:rPr>
        <w:t xml:space="preserve"> of the internal control system.</w:t>
      </w:r>
    </w:p>
    <w:p w14:paraId="0DD8D474" w14:textId="72500624" w:rsidR="000470B1" w:rsidRPr="00ED4758" w:rsidRDefault="000470B1" w:rsidP="000470B1">
      <w:pPr>
        <w:ind w:firstLine="644"/>
        <w:jc w:val="both"/>
        <w:rPr>
          <w:lang w:val="en-GB"/>
        </w:rPr>
      </w:pPr>
      <w:r w:rsidRPr="00ED4758">
        <w:rPr>
          <w:lang w:val="en-GB"/>
        </w:rPr>
        <w:lastRenderedPageBreak/>
        <w:t>The Bank's employees</w:t>
      </w:r>
      <w:r w:rsidR="00C003EA" w:rsidRPr="00ED4758">
        <w:rPr>
          <w:lang w:val="en-GB"/>
        </w:rPr>
        <w:t xml:space="preserve">, </w:t>
      </w:r>
      <w:r w:rsidRPr="00ED4758">
        <w:rPr>
          <w:lang w:val="en-GB"/>
        </w:rPr>
        <w:t>within their functional responsibilities, ensure the implementation of internal control procedures.</w:t>
      </w:r>
    </w:p>
    <w:p w14:paraId="525B1605" w14:textId="2811F9F0" w:rsidR="000470B1" w:rsidRPr="00ED4758" w:rsidRDefault="000470B1" w:rsidP="000470B1">
      <w:pPr>
        <w:ind w:firstLine="644"/>
        <w:jc w:val="both"/>
        <w:rPr>
          <w:lang w:val="en-GB"/>
        </w:rPr>
      </w:pPr>
      <w:r w:rsidRPr="00ED4758">
        <w:rPr>
          <w:lang w:val="en-GB"/>
        </w:rPr>
        <w:t xml:space="preserve">At the level of all structural </w:t>
      </w:r>
      <w:r w:rsidR="00C003EA" w:rsidRPr="00ED4758">
        <w:rPr>
          <w:lang w:val="en-GB"/>
        </w:rPr>
        <w:t>departments</w:t>
      </w:r>
      <w:r w:rsidRPr="00ED4758">
        <w:rPr>
          <w:lang w:val="en-GB"/>
        </w:rPr>
        <w:t xml:space="preserve"> involved in the internal control system, the </w:t>
      </w:r>
      <w:r w:rsidR="009C49A9">
        <w:rPr>
          <w:lang w:val="en-GB"/>
        </w:rPr>
        <w:t>R</w:t>
      </w:r>
      <w:r w:rsidRPr="00ED4758">
        <w:rPr>
          <w:lang w:val="en-GB"/>
        </w:rPr>
        <w:t>eports on the results of monitoring of the internal control system</w:t>
      </w:r>
      <w:r w:rsidR="00C003EA" w:rsidRPr="00ED4758">
        <w:rPr>
          <w:lang w:val="en-GB"/>
        </w:rPr>
        <w:t xml:space="preserve"> efficiency</w:t>
      </w:r>
      <w:r w:rsidRPr="00ED4758">
        <w:rPr>
          <w:lang w:val="en-GB"/>
        </w:rPr>
        <w:t xml:space="preserve"> are prepared and </w:t>
      </w:r>
      <w:r w:rsidR="00C003EA" w:rsidRPr="00ED4758">
        <w:rPr>
          <w:lang w:val="en-GB"/>
        </w:rPr>
        <w:t>shall</w:t>
      </w:r>
      <w:r w:rsidRPr="00ED4758">
        <w:rPr>
          <w:lang w:val="en-GB"/>
        </w:rPr>
        <w:t xml:space="preserve"> obligatory made </w:t>
      </w:r>
      <w:r w:rsidR="009C49A9">
        <w:rPr>
          <w:lang w:val="en-GB"/>
        </w:rPr>
        <w:t>communicated</w:t>
      </w:r>
      <w:r w:rsidRPr="00ED4758">
        <w:rPr>
          <w:lang w:val="en-GB"/>
        </w:rPr>
        <w:t xml:space="preserve"> to the members of the </w:t>
      </w:r>
      <w:r w:rsidR="00C003EA" w:rsidRPr="00ED4758">
        <w:rPr>
          <w:lang w:val="en-GB"/>
        </w:rPr>
        <w:t xml:space="preserve">Executive </w:t>
      </w:r>
      <w:r w:rsidRPr="00ED4758">
        <w:rPr>
          <w:lang w:val="en-GB"/>
        </w:rPr>
        <w:t>and the Supervisory Board</w:t>
      </w:r>
      <w:r w:rsidR="00C003EA" w:rsidRPr="00ED4758">
        <w:rPr>
          <w:lang w:val="en-GB"/>
        </w:rPr>
        <w:t>s of the Bank</w:t>
      </w:r>
      <w:r w:rsidRPr="00ED4758">
        <w:rPr>
          <w:lang w:val="en-GB"/>
        </w:rPr>
        <w:t>.</w:t>
      </w:r>
    </w:p>
    <w:p w14:paraId="0B689A48" w14:textId="77777777" w:rsidR="000470B1" w:rsidRPr="00ED4758" w:rsidRDefault="000470B1" w:rsidP="000470B1">
      <w:pPr>
        <w:ind w:firstLine="644"/>
        <w:jc w:val="both"/>
        <w:rPr>
          <w:lang w:val="en-GB"/>
        </w:rPr>
      </w:pPr>
      <w:r w:rsidRPr="00ED4758">
        <w:rPr>
          <w:lang w:val="en-GB"/>
        </w:rPr>
        <w:t>During 2019, the Bank's internal control system has undergone changes and improvements related to the following factors:</w:t>
      </w:r>
    </w:p>
    <w:p w14:paraId="46F3752D" w14:textId="17B7BA9D" w:rsidR="000470B1" w:rsidRPr="00ED4758" w:rsidRDefault="000470B1" w:rsidP="000470B1">
      <w:pPr>
        <w:ind w:firstLine="644"/>
        <w:jc w:val="both"/>
        <w:rPr>
          <w:lang w:val="en-GB"/>
        </w:rPr>
      </w:pPr>
      <w:r w:rsidRPr="00ED4758">
        <w:rPr>
          <w:lang w:val="en-GB"/>
        </w:rPr>
        <w:t xml:space="preserve">- increased attention of the Supervisory Board to internal control issues, which resulted in the cooperation </w:t>
      </w:r>
      <w:r w:rsidR="00C003EA" w:rsidRPr="00ED4758">
        <w:rPr>
          <w:lang w:val="en-GB"/>
        </w:rPr>
        <w:t>between</w:t>
      </w:r>
      <w:r w:rsidRPr="00ED4758">
        <w:rPr>
          <w:lang w:val="en-GB"/>
        </w:rPr>
        <w:t xml:space="preserve"> the </w:t>
      </w:r>
      <w:r w:rsidR="00C003EA" w:rsidRPr="00ED4758">
        <w:rPr>
          <w:lang w:val="en-GB"/>
        </w:rPr>
        <w:t>Executive</w:t>
      </w:r>
      <w:r w:rsidRPr="00ED4758">
        <w:rPr>
          <w:lang w:val="en-GB"/>
        </w:rPr>
        <w:t xml:space="preserve"> and Supervisory Board</w:t>
      </w:r>
      <w:r w:rsidR="00AC742A">
        <w:rPr>
          <w:lang w:val="en-GB"/>
        </w:rPr>
        <w:t>s</w:t>
      </w:r>
      <w:r w:rsidRPr="00ED4758">
        <w:rPr>
          <w:lang w:val="en-GB"/>
        </w:rPr>
        <w:t xml:space="preserve"> and development of an action plan by the </w:t>
      </w:r>
      <w:r w:rsidR="00C003EA" w:rsidRPr="00ED4758">
        <w:rPr>
          <w:lang w:val="en-GB"/>
        </w:rPr>
        <w:t xml:space="preserve">Executive </w:t>
      </w:r>
      <w:r w:rsidRPr="00ED4758">
        <w:rPr>
          <w:lang w:val="en-GB"/>
        </w:rPr>
        <w:t>Board to improve the internal control system.</w:t>
      </w:r>
    </w:p>
    <w:p w14:paraId="04E321F5" w14:textId="0F9500F2" w:rsidR="000470B1" w:rsidRPr="00ED4758" w:rsidRDefault="000470B1" w:rsidP="000470B1">
      <w:pPr>
        <w:ind w:firstLine="644"/>
        <w:jc w:val="both"/>
        <w:rPr>
          <w:lang w:val="en-GB"/>
        </w:rPr>
      </w:pPr>
      <w:r w:rsidRPr="00ED4758">
        <w:rPr>
          <w:lang w:val="en-GB"/>
        </w:rPr>
        <w:t xml:space="preserve">- change of regulatory requirements - introduction of </w:t>
      </w:r>
      <w:r w:rsidR="00AC742A">
        <w:rPr>
          <w:lang w:val="en-GB"/>
        </w:rPr>
        <w:t xml:space="preserve">the </w:t>
      </w:r>
      <w:r w:rsidRPr="00ED4758">
        <w:rPr>
          <w:lang w:val="en-GB"/>
        </w:rPr>
        <w:t>Instruction of the National Bank of Ukraine No. 88 of 02.08.19 on the system of internal control in banks of Ukraine.</w:t>
      </w:r>
    </w:p>
    <w:p w14:paraId="189A68FB" w14:textId="2EF49D33" w:rsidR="000470B1" w:rsidRPr="00ED4758" w:rsidRDefault="000470B1" w:rsidP="000470B1">
      <w:pPr>
        <w:ind w:firstLine="644"/>
        <w:jc w:val="both"/>
        <w:rPr>
          <w:lang w:val="en-GB"/>
        </w:rPr>
      </w:pPr>
      <w:r w:rsidRPr="00ED4758">
        <w:rPr>
          <w:lang w:val="en-GB"/>
        </w:rPr>
        <w:t>- constant updat</w:t>
      </w:r>
      <w:r w:rsidR="00AC742A">
        <w:rPr>
          <w:lang w:val="en-GB"/>
        </w:rPr>
        <w:t>e</w:t>
      </w:r>
      <w:r w:rsidRPr="00ED4758">
        <w:rPr>
          <w:lang w:val="en-GB"/>
        </w:rPr>
        <w:t xml:space="preserve"> of the internal regulatory framework aimed at improving the control mechanisms in activities</w:t>
      </w:r>
      <w:r w:rsidR="00C003EA" w:rsidRPr="00ED4758">
        <w:rPr>
          <w:lang w:val="en-GB"/>
        </w:rPr>
        <w:t xml:space="preserve"> of the Bank</w:t>
      </w:r>
      <w:r w:rsidRPr="00ED4758">
        <w:rPr>
          <w:lang w:val="en-GB"/>
        </w:rPr>
        <w:t>.</w:t>
      </w:r>
    </w:p>
    <w:p w14:paraId="76BA28C4" w14:textId="793F8C15" w:rsidR="000470B1" w:rsidRPr="00ED4758" w:rsidRDefault="000470B1" w:rsidP="000470B1">
      <w:pPr>
        <w:ind w:firstLine="644"/>
        <w:jc w:val="both"/>
        <w:rPr>
          <w:lang w:val="en-GB"/>
        </w:rPr>
      </w:pPr>
      <w:r w:rsidRPr="00ED4758">
        <w:rPr>
          <w:lang w:val="en-GB"/>
        </w:rPr>
        <w:t xml:space="preserve">- implementation of the measures and recommendations </w:t>
      </w:r>
      <w:r w:rsidR="00C003EA" w:rsidRPr="00ED4758">
        <w:rPr>
          <w:lang w:val="en-GB"/>
        </w:rPr>
        <w:t xml:space="preserve">which were given as a result of </w:t>
      </w:r>
      <w:r w:rsidRPr="00ED4758">
        <w:rPr>
          <w:lang w:val="en-GB"/>
        </w:rPr>
        <w:t>internal and external audits.</w:t>
      </w:r>
    </w:p>
    <w:p w14:paraId="6B3CC441" w14:textId="4E545196" w:rsidR="00C003EA" w:rsidRPr="00ED4758" w:rsidRDefault="000470B1" w:rsidP="000470B1">
      <w:pPr>
        <w:ind w:firstLine="644"/>
        <w:jc w:val="both"/>
        <w:rPr>
          <w:lang w:val="en-GB"/>
        </w:rPr>
      </w:pPr>
      <w:r w:rsidRPr="00ED4758">
        <w:rPr>
          <w:lang w:val="en-GB"/>
        </w:rPr>
        <w:t xml:space="preserve">Management assesses the </w:t>
      </w:r>
      <w:r w:rsidR="00AC742A">
        <w:rPr>
          <w:lang w:val="en-GB"/>
        </w:rPr>
        <w:t>current</w:t>
      </w:r>
      <w:r w:rsidRPr="00ED4758">
        <w:rPr>
          <w:lang w:val="en-GB"/>
        </w:rPr>
        <w:t xml:space="preserve"> internal control system of the Bank as appropriate to the size, nature and scope of the Bank's operations, </w:t>
      </w:r>
      <w:r w:rsidR="00C003EA" w:rsidRPr="00ED4758">
        <w:rPr>
          <w:lang w:val="en-GB"/>
        </w:rPr>
        <w:t xml:space="preserve">which </w:t>
      </w:r>
      <w:r w:rsidRPr="00ED4758">
        <w:rPr>
          <w:lang w:val="en-GB"/>
        </w:rPr>
        <w:t>sufficiently minimi</w:t>
      </w:r>
      <w:r w:rsidR="00C003EA" w:rsidRPr="00ED4758">
        <w:rPr>
          <w:lang w:val="en-GB"/>
        </w:rPr>
        <w:t>s</w:t>
      </w:r>
      <w:r w:rsidRPr="00ED4758">
        <w:rPr>
          <w:lang w:val="en-GB"/>
        </w:rPr>
        <w:t>es the risks to which the Bank is exposed in its operations, and promotes capital conservation, protection of interests of shareholders, depositors and customers</w:t>
      </w:r>
      <w:r w:rsidR="00AF1A20" w:rsidRPr="00ED4758">
        <w:rPr>
          <w:lang w:val="en-GB"/>
        </w:rPr>
        <w:t xml:space="preserve"> of the Bank.</w:t>
      </w:r>
    </w:p>
    <w:p w14:paraId="2D2C995A" w14:textId="77777777" w:rsidR="00AF1A20" w:rsidRPr="00ED4758" w:rsidRDefault="00AF1A20" w:rsidP="00AF1A20">
      <w:pPr>
        <w:ind w:firstLine="644"/>
        <w:jc w:val="both"/>
        <w:rPr>
          <w:lang w:val="en-GB"/>
        </w:rPr>
      </w:pPr>
    </w:p>
    <w:p w14:paraId="74624201" w14:textId="3DF33C85" w:rsidR="00AF1A20" w:rsidRPr="00ED4758" w:rsidRDefault="00AF1A20" w:rsidP="00AF1A20">
      <w:pPr>
        <w:ind w:firstLine="644"/>
        <w:jc w:val="both"/>
        <w:rPr>
          <w:lang w:val="en-GB"/>
        </w:rPr>
      </w:pPr>
      <w:r w:rsidRPr="00ED4758">
        <w:rPr>
          <w:lang w:val="en-GB"/>
        </w:rPr>
        <w:t>The risk management system</w:t>
      </w:r>
      <w:r w:rsidR="00AC742A">
        <w:rPr>
          <w:lang w:val="en-GB"/>
        </w:rPr>
        <w:t xml:space="preserve"> of the Bank</w:t>
      </w:r>
      <w:r w:rsidRPr="00ED4758">
        <w:rPr>
          <w:lang w:val="en-GB"/>
        </w:rPr>
        <w:t xml:space="preserve"> is </w:t>
      </w:r>
      <w:r w:rsidR="00AC742A">
        <w:rPr>
          <w:lang w:val="en-GB"/>
        </w:rPr>
        <w:t xml:space="preserve">a </w:t>
      </w:r>
      <w:r w:rsidRPr="00ED4758">
        <w:rPr>
          <w:lang w:val="en-GB"/>
        </w:rPr>
        <w:t>part of the Bank's overall corporate governance system and aims to ensure sustainable development within the framework of the Development Strategy.</w:t>
      </w:r>
    </w:p>
    <w:p w14:paraId="788B1C24" w14:textId="0D9F6032" w:rsidR="00AF1A20" w:rsidRPr="00ED4758" w:rsidRDefault="00AF1A20" w:rsidP="00AF1A20">
      <w:pPr>
        <w:ind w:firstLine="644"/>
        <w:jc w:val="both"/>
        <w:rPr>
          <w:lang w:val="en-GB"/>
        </w:rPr>
      </w:pPr>
      <w:r w:rsidRPr="00ED4758">
        <w:rPr>
          <w:lang w:val="en-GB"/>
        </w:rPr>
        <w:t xml:space="preserve">The strategic goals of </w:t>
      </w:r>
      <w:proofErr w:type="spellStart"/>
      <w:r w:rsidR="00AC742A">
        <w:rPr>
          <w:lang w:val="en-GB"/>
        </w:rPr>
        <w:t>the</w:t>
      </w:r>
      <w:r w:rsidRPr="00ED4758">
        <w:rPr>
          <w:lang w:val="en-GB"/>
        </w:rPr>
        <w:t>risk</w:t>
      </w:r>
      <w:proofErr w:type="spellEnd"/>
      <w:r w:rsidRPr="00ED4758">
        <w:rPr>
          <w:lang w:val="en-GB"/>
        </w:rPr>
        <w:t xml:space="preserve"> management </w:t>
      </w:r>
      <w:r w:rsidR="00AC742A">
        <w:rPr>
          <w:lang w:val="en-GB"/>
        </w:rPr>
        <w:t xml:space="preserve">of the Bank </w:t>
      </w:r>
      <w:r w:rsidRPr="00ED4758">
        <w:rPr>
          <w:lang w:val="en-GB"/>
        </w:rPr>
        <w:t>are:</w:t>
      </w:r>
    </w:p>
    <w:p w14:paraId="73B5FBC4" w14:textId="3FCC5D3A" w:rsidR="00AF1A20" w:rsidRPr="00ED4758" w:rsidRDefault="00AF1A20" w:rsidP="0022284B">
      <w:pPr>
        <w:pStyle w:val="ListParagraph"/>
        <w:numPr>
          <w:ilvl w:val="0"/>
          <w:numId w:val="11"/>
        </w:numPr>
        <w:jc w:val="both"/>
        <w:rPr>
          <w:lang w:val="en-GB"/>
        </w:rPr>
      </w:pPr>
      <w:r w:rsidRPr="00ED4758">
        <w:rPr>
          <w:lang w:val="en-GB"/>
        </w:rPr>
        <w:t>ensuring the necessary balance between risk and profitability and minimising losses</w:t>
      </w:r>
      <w:r w:rsidR="00AC742A">
        <w:rPr>
          <w:lang w:val="en-GB"/>
        </w:rPr>
        <w:t xml:space="preserve"> of the Bank</w:t>
      </w:r>
      <w:r w:rsidRPr="00ED4758">
        <w:rPr>
          <w:lang w:val="en-GB"/>
        </w:rPr>
        <w:t>;</w:t>
      </w:r>
    </w:p>
    <w:p w14:paraId="6910C43F" w14:textId="18D94D09" w:rsidR="00AF1A20" w:rsidRPr="00ED4758" w:rsidRDefault="00AF1A20" w:rsidP="0022284B">
      <w:pPr>
        <w:pStyle w:val="ListParagraph"/>
        <w:numPr>
          <w:ilvl w:val="0"/>
          <w:numId w:val="11"/>
        </w:numPr>
        <w:jc w:val="both"/>
        <w:rPr>
          <w:lang w:val="en-GB"/>
        </w:rPr>
      </w:pPr>
      <w:r w:rsidRPr="00ED4758">
        <w:rPr>
          <w:lang w:val="en-GB"/>
        </w:rPr>
        <w:t>support and enhancement of the credit rating of the Bank;</w:t>
      </w:r>
    </w:p>
    <w:p w14:paraId="43458A57" w14:textId="1862A366" w:rsidR="00AF1A20" w:rsidRPr="00ED4758" w:rsidRDefault="00AF1A20" w:rsidP="0022284B">
      <w:pPr>
        <w:pStyle w:val="ListParagraph"/>
        <w:numPr>
          <w:ilvl w:val="0"/>
          <w:numId w:val="11"/>
        </w:numPr>
        <w:jc w:val="both"/>
        <w:rPr>
          <w:lang w:val="en-GB"/>
        </w:rPr>
      </w:pPr>
      <w:r w:rsidRPr="00ED4758">
        <w:rPr>
          <w:lang w:val="en-GB"/>
        </w:rPr>
        <w:t>integration of risk management into the strategic management system of the Bank;</w:t>
      </w:r>
    </w:p>
    <w:p w14:paraId="06DC22D1" w14:textId="77777777" w:rsidR="00D9650D" w:rsidRPr="00ED4758" w:rsidRDefault="00AF1A20" w:rsidP="0022284B">
      <w:pPr>
        <w:pStyle w:val="ListParagraph"/>
        <w:numPr>
          <w:ilvl w:val="0"/>
          <w:numId w:val="11"/>
        </w:numPr>
        <w:jc w:val="both"/>
        <w:rPr>
          <w:lang w:val="en-GB"/>
        </w:rPr>
      </w:pPr>
      <w:r w:rsidRPr="00ED4758">
        <w:rPr>
          <w:lang w:val="en-GB"/>
        </w:rPr>
        <w:t>creation and development of risk management int</w:t>
      </w:r>
      <w:r w:rsidR="00D9650D" w:rsidRPr="00ED4758">
        <w:rPr>
          <w:lang w:val="en-GB"/>
        </w:rPr>
        <w:t>ra</w:t>
      </w:r>
      <w:r w:rsidRPr="00ED4758">
        <w:rPr>
          <w:lang w:val="en-GB"/>
        </w:rPr>
        <w:t>bank infrastructure;</w:t>
      </w:r>
    </w:p>
    <w:p w14:paraId="3B05EF17" w14:textId="77777777" w:rsidR="00D9650D" w:rsidRPr="00ED4758" w:rsidRDefault="00AF1A20" w:rsidP="0022284B">
      <w:pPr>
        <w:pStyle w:val="ListParagraph"/>
        <w:numPr>
          <w:ilvl w:val="0"/>
          <w:numId w:val="11"/>
        </w:numPr>
        <w:jc w:val="both"/>
        <w:rPr>
          <w:lang w:val="en-GB"/>
        </w:rPr>
      </w:pPr>
      <w:r w:rsidRPr="00ED4758">
        <w:rPr>
          <w:lang w:val="en-GB"/>
        </w:rPr>
        <w:t>implementation of the latest methods and banking standards;</w:t>
      </w:r>
    </w:p>
    <w:p w14:paraId="35CFB29B" w14:textId="77777777" w:rsidR="00D9650D" w:rsidRPr="00ED4758" w:rsidRDefault="00AF1A20" w:rsidP="0022284B">
      <w:pPr>
        <w:pStyle w:val="ListParagraph"/>
        <w:numPr>
          <w:ilvl w:val="0"/>
          <w:numId w:val="11"/>
        </w:numPr>
        <w:jc w:val="both"/>
        <w:rPr>
          <w:lang w:val="en-GB"/>
        </w:rPr>
      </w:pPr>
      <w:r w:rsidRPr="00ED4758">
        <w:rPr>
          <w:lang w:val="en-GB"/>
        </w:rPr>
        <w:t>improvement of banking products and processes;</w:t>
      </w:r>
    </w:p>
    <w:p w14:paraId="29B000BF" w14:textId="07D5F2C9" w:rsidR="00AF1A20" w:rsidRPr="00ED4758" w:rsidRDefault="00AF1A20" w:rsidP="0022284B">
      <w:pPr>
        <w:pStyle w:val="ListParagraph"/>
        <w:numPr>
          <w:ilvl w:val="0"/>
          <w:numId w:val="11"/>
        </w:numPr>
        <w:jc w:val="both"/>
        <w:rPr>
          <w:lang w:val="en-GB"/>
        </w:rPr>
      </w:pPr>
      <w:r w:rsidRPr="00ED4758">
        <w:rPr>
          <w:lang w:val="en-GB"/>
        </w:rPr>
        <w:t>increase of the Bank's competitive advantages.</w:t>
      </w:r>
    </w:p>
    <w:p w14:paraId="601961B2" w14:textId="10E6E5DF" w:rsidR="00AF1A20" w:rsidRPr="00ED4758" w:rsidRDefault="00AF1A20" w:rsidP="00882859">
      <w:pPr>
        <w:ind w:firstLine="646"/>
        <w:jc w:val="both"/>
        <w:rPr>
          <w:lang w:val="en-GB"/>
        </w:rPr>
      </w:pPr>
      <w:r w:rsidRPr="00ED4758">
        <w:rPr>
          <w:lang w:val="en-GB"/>
        </w:rPr>
        <w:t xml:space="preserve">In implementing the Strategy, the Bank will </w:t>
      </w:r>
      <w:r w:rsidR="00D9650D" w:rsidRPr="00ED4758">
        <w:rPr>
          <w:lang w:val="en-GB"/>
        </w:rPr>
        <w:t>comply with the</w:t>
      </w:r>
      <w:r w:rsidRPr="00ED4758">
        <w:rPr>
          <w:lang w:val="en-GB"/>
        </w:rPr>
        <w:t xml:space="preserve"> following basic principles:</w:t>
      </w:r>
    </w:p>
    <w:p w14:paraId="48C5E05A" w14:textId="33E5B4F4"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 xml:space="preserve">he Bank does not take any risk if </w:t>
      </w:r>
      <w:r w:rsidRPr="00ED4758">
        <w:rPr>
          <w:lang w:val="en-GB"/>
        </w:rPr>
        <w:t>this</w:t>
      </w:r>
      <w:r w:rsidR="00AF1A20" w:rsidRPr="00ED4758">
        <w:rPr>
          <w:lang w:val="en-GB"/>
        </w:rPr>
        <w:t xml:space="preserve"> is possible;</w:t>
      </w:r>
    </w:p>
    <w:p w14:paraId="6A3CABBE" w14:textId="6EF6F8E6"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 xml:space="preserve">he Bank does not take more risk than its own equity </w:t>
      </w:r>
      <w:r w:rsidRPr="00ED4758">
        <w:rPr>
          <w:lang w:val="en-GB"/>
        </w:rPr>
        <w:t>allow</w:t>
      </w:r>
      <w:r w:rsidR="00AC742A">
        <w:rPr>
          <w:lang w:val="en-GB"/>
        </w:rPr>
        <w:t>s</w:t>
      </w:r>
      <w:r w:rsidR="00AF1A20" w:rsidRPr="00ED4758">
        <w:rPr>
          <w:lang w:val="en-GB"/>
        </w:rPr>
        <w:t>;</w:t>
      </w:r>
    </w:p>
    <w:p w14:paraId="221D9F82" w14:textId="77777777" w:rsidR="00D9650D" w:rsidRPr="00ED4758" w:rsidRDefault="00D9650D" w:rsidP="0022284B">
      <w:pPr>
        <w:pStyle w:val="ListParagraph"/>
        <w:numPr>
          <w:ilvl w:val="0"/>
          <w:numId w:val="12"/>
        </w:numPr>
        <w:jc w:val="both"/>
        <w:rPr>
          <w:lang w:val="en-GB"/>
        </w:rPr>
      </w:pPr>
      <w:r w:rsidRPr="00ED4758">
        <w:rPr>
          <w:lang w:val="en-GB"/>
        </w:rPr>
        <w:t>the</w:t>
      </w:r>
      <w:r w:rsidR="00AF1A20" w:rsidRPr="00ED4758">
        <w:rPr>
          <w:lang w:val="en-GB"/>
        </w:rPr>
        <w:t xml:space="preserve"> management of the Bank thinks about the consequences of the risk and does not </w:t>
      </w:r>
      <w:r w:rsidR="00AF1A20" w:rsidRPr="00AC742A">
        <w:rPr>
          <w:lang w:val="en-GB"/>
        </w:rPr>
        <w:t>risk much for the sake of small;</w:t>
      </w:r>
    </w:p>
    <w:p w14:paraId="67DE732F" w14:textId="0573D684"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he Bank does not create risky situations for profit;</w:t>
      </w:r>
    </w:p>
    <w:p w14:paraId="5BF5B714" w14:textId="74AB0B85"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he Bank keeps the risks under control;</w:t>
      </w:r>
    </w:p>
    <w:p w14:paraId="7C7D4E68" w14:textId="341C5D63"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he Bank diversifies risks among clients/</w:t>
      </w:r>
      <w:r w:rsidRPr="00ED4758">
        <w:rPr>
          <w:lang w:val="en-GB"/>
        </w:rPr>
        <w:t>shareholders</w:t>
      </w:r>
      <w:r w:rsidR="00AF1A20" w:rsidRPr="00ED4758">
        <w:rPr>
          <w:lang w:val="en-GB"/>
        </w:rPr>
        <w:t xml:space="preserve"> and by type of activit</w:t>
      </w:r>
      <w:r w:rsidR="00AC742A">
        <w:rPr>
          <w:lang w:val="en-GB"/>
        </w:rPr>
        <w:t>ies</w:t>
      </w:r>
      <w:r w:rsidR="00AF1A20" w:rsidRPr="00ED4758">
        <w:rPr>
          <w:lang w:val="en-GB"/>
        </w:rPr>
        <w:t>;</w:t>
      </w:r>
    </w:p>
    <w:p w14:paraId="6E35EB4F" w14:textId="3E6EAEEA" w:rsidR="00AF1A20"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 xml:space="preserve">he Bank creates the necessary </w:t>
      </w:r>
      <w:r w:rsidRPr="00ED4758">
        <w:rPr>
          <w:lang w:val="en-GB"/>
        </w:rPr>
        <w:t>provisions</w:t>
      </w:r>
      <w:r w:rsidR="00AF1A20" w:rsidRPr="00ED4758">
        <w:rPr>
          <w:lang w:val="en-GB"/>
        </w:rPr>
        <w:t xml:space="preserve"> to cover the risks;</w:t>
      </w:r>
    </w:p>
    <w:p w14:paraId="46AC0595" w14:textId="77777777" w:rsidR="00D9650D" w:rsidRPr="00ED4758" w:rsidRDefault="00D9650D" w:rsidP="0022284B">
      <w:pPr>
        <w:pStyle w:val="ListParagraph"/>
        <w:numPr>
          <w:ilvl w:val="0"/>
          <w:numId w:val="12"/>
        </w:numPr>
        <w:jc w:val="both"/>
        <w:rPr>
          <w:lang w:val="en-GB"/>
        </w:rPr>
      </w:pPr>
      <w:r w:rsidRPr="00ED4758">
        <w:rPr>
          <w:lang w:val="en-GB"/>
        </w:rPr>
        <w:t>t</w:t>
      </w:r>
      <w:r w:rsidR="00AF1A20" w:rsidRPr="00ED4758">
        <w:rPr>
          <w:lang w:val="en-GB"/>
        </w:rPr>
        <w:t>he Bank establishes continuous monitoring of risk changes.</w:t>
      </w:r>
    </w:p>
    <w:p w14:paraId="728F3F66" w14:textId="270DE952" w:rsidR="00D9650D" w:rsidRPr="00ED4758" w:rsidRDefault="00D9650D" w:rsidP="00D9650D">
      <w:pPr>
        <w:ind w:firstLine="567"/>
        <w:jc w:val="both"/>
        <w:rPr>
          <w:lang w:val="en-GB"/>
        </w:rPr>
      </w:pPr>
      <w:r w:rsidRPr="00ED4758">
        <w:rPr>
          <w:lang w:val="en-GB"/>
        </w:rPr>
        <w:t xml:space="preserve">For efficient risk management and minimisation of the conflict of interest between risk undertaking, limiting and controlling the level of risk, as well as audit of the risk management system, the organisational structure of the Bank has been tailored </w:t>
      </w:r>
      <w:r w:rsidR="00AC742A">
        <w:rPr>
          <w:lang w:val="en-GB"/>
        </w:rPr>
        <w:t>to take into ac</w:t>
      </w:r>
      <w:r w:rsidR="00D94671" w:rsidRPr="00ED4758">
        <w:rPr>
          <w:lang w:val="en-GB"/>
        </w:rPr>
        <w:t>count the need</w:t>
      </w:r>
      <w:r w:rsidRPr="00ED4758">
        <w:rPr>
          <w:lang w:val="en-GB"/>
        </w:rPr>
        <w:t xml:space="preserve"> for division of functions and responsibilities between the </w:t>
      </w:r>
      <w:r w:rsidR="00D94671" w:rsidRPr="00ED4758">
        <w:rPr>
          <w:lang w:val="en-GB"/>
        </w:rPr>
        <w:t>“</w:t>
      </w:r>
      <w:r w:rsidRPr="00ED4758">
        <w:rPr>
          <w:lang w:val="en-GB"/>
        </w:rPr>
        <w:t>3 lines</w:t>
      </w:r>
      <w:r w:rsidR="00D94671" w:rsidRPr="00ED4758">
        <w:rPr>
          <w:lang w:val="en-GB"/>
        </w:rPr>
        <w:t xml:space="preserve"> of </w:t>
      </w:r>
      <w:r w:rsidR="00AC742A" w:rsidRPr="00ED4758">
        <w:rPr>
          <w:lang w:val="en-GB"/>
        </w:rPr>
        <w:t>defence</w:t>
      </w:r>
      <w:r w:rsidR="00D94671" w:rsidRPr="00ED4758">
        <w:rPr>
          <w:lang w:val="en-GB"/>
        </w:rPr>
        <w:t>” of the Bank</w:t>
      </w:r>
      <w:r w:rsidRPr="00ED4758">
        <w:rPr>
          <w:lang w:val="en-GB"/>
        </w:rPr>
        <w:t>:</w:t>
      </w:r>
    </w:p>
    <w:p w14:paraId="7C801613" w14:textId="0672229A" w:rsidR="00D9650D" w:rsidRPr="00ED4758" w:rsidRDefault="00D9650D" w:rsidP="00D9650D">
      <w:pPr>
        <w:ind w:firstLine="567"/>
        <w:jc w:val="both"/>
        <w:rPr>
          <w:lang w:val="en-GB"/>
        </w:rPr>
      </w:pPr>
      <w:r w:rsidRPr="00ED4758">
        <w:rPr>
          <w:u w:val="single"/>
          <w:lang w:val="en-GB"/>
        </w:rPr>
        <w:lastRenderedPageBreak/>
        <w:t xml:space="preserve">The </w:t>
      </w:r>
      <w:r w:rsidR="00AC742A">
        <w:rPr>
          <w:u w:val="single"/>
          <w:lang w:val="en-GB"/>
        </w:rPr>
        <w:t>1</w:t>
      </w:r>
      <w:r w:rsidR="00AC742A" w:rsidRPr="00AC742A">
        <w:rPr>
          <w:u w:val="single"/>
          <w:vertAlign w:val="superscript"/>
          <w:lang w:val="en-GB"/>
        </w:rPr>
        <w:t>st</w:t>
      </w:r>
      <w:r w:rsidR="00AC742A">
        <w:rPr>
          <w:u w:val="single"/>
          <w:lang w:val="en-GB"/>
        </w:rPr>
        <w:t xml:space="preserve"> defence line </w:t>
      </w:r>
      <w:r w:rsidRPr="00ED4758">
        <w:rPr>
          <w:lang w:val="en-GB"/>
        </w:rPr>
        <w:t xml:space="preserve">is </w:t>
      </w:r>
      <w:r w:rsidR="00AC742A">
        <w:rPr>
          <w:lang w:val="en-GB"/>
        </w:rPr>
        <w:t>ensured</w:t>
      </w:r>
      <w:r w:rsidRPr="00ED4758">
        <w:rPr>
          <w:lang w:val="en-GB"/>
        </w:rPr>
        <w:t xml:space="preserve"> by the </w:t>
      </w:r>
      <w:r w:rsidR="00D94671" w:rsidRPr="00ED4758">
        <w:rPr>
          <w:lang w:val="en-GB"/>
        </w:rPr>
        <w:t>Executive Board and its c</w:t>
      </w:r>
      <w:r w:rsidRPr="00ED4758">
        <w:rPr>
          <w:lang w:val="en-GB"/>
        </w:rPr>
        <w:t xml:space="preserve">ollegial </w:t>
      </w:r>
      <w:r w:rsidR="00D94671" w:rsidRPr="00ED4758">
        <w:rPr>
          <w:lang w:val="en-GB"/>
        </w:rPr>
        <w:t>b</w:t>
      </w:r>
      <w:r w:rsidRPr="00ED4758">
        <w:rPr>
          <w:lang w:val="en-GB"/>
        </w:rPr>
        <w:t xml:space="preserve">odies, business and support </w:t>
      </w:r>
      <w:r w:rsidR="00D94671" w:rsidRPr="00ED4758">
        <w:rPr>
          <w:lang w:val="en-GB"/>
        </w:rPr>
        <w:t>departments</w:t>
      </w:r>
      <w:r w:rsidRPr="00ED4758">
        <w:rPr>
          <w:lang w:val="en-GB"/>
        </w:rPr>
        <w:t xml:space="preserve">, and </w:t>
      </w:r>
      <w:r w:rsidR="00D94671" w:rsidRPr="00ED4758">
        <w:rPr>
          <w:lang w:val="en-GB"/>
        </w:rPr>
        <w:t>provides for</w:t>
      </w:r>
      <w:r w:rsidRPr="00ED4758">
        <w:rPr>
          <w:lang w:val="en-GB"/>
        </w:rPr>
        <w:t xml:space="preserve"> ensuring </w:t>
      </w:r>
      <w:r w:rsidR="00D94671" w:rsidRPr="00ED4758">
        <w:rPr>
          <w:lang w:val="en-GB"/>
        </w:rPr>
        <w:t xml:space="preserve">compliance with </w:t>
      </w:r>
      <w:r w:rsidRPr="00ED4758">
        <w:rPr>
          <w:lang w:val="en-GB"/>
        </w:rPr>
        <w:t>the limits set by the 2</w:t>
      </w:r>
      <w:r w:rsidRPr="00193FF7">
        <w:rPr>
          <w:vertAlign w:val="superscript"/>
          <w:lang w:val="en-GB"/>
        </w:rPr>
        <w:t>nd</w:t>
      </w:r>
      <w:r w:rsidR="00193FF7">
        <w:rPr>
          <w:lang w:val="en-GB"/>
        </w:rPr>
        <w:t xml:space="preserve"> </w:t>
      </w:r>
      <w:r w:rsidR="00AC742A">
        <w:rPr>
          <w:lang w:val="en-GB"/>
        </w:rPr>
        <w:t xml:space="preserve">defence </w:t>
      </w:r>
      <w:r w:rsidRPr="00ED4758">
        <w:rPr>
          <w:lang w:val="en-GB"/>
        </w:rPr>
        <w:t>line. In the course of its activities it performs the following functions in terms of risk management:</w:t>
      </w:r>
    </w:p>
    <w:p w14:paraId="58DBD801" w14:textId="256FF41F" w:rsidR="00D9650D" w:rsidRPr="00ED4758" w:rsidRDefault="00D9650D" w:rsidP="0022284B">
      <w:pPr>
        <w:pStyle w:val="ListParagraph"/>
        <w:numPr>
          <w:ilvl w:val="0"/>
          <w:numId w:val="11"/>
        </w:numPr>
        <w:jc w:val="both"/>
        <w:rPr>
          <w:lang w:val="en-GB"/>
        </w:rPr>
      </w:pPr>
      <w:r w:rsidRPr="00ED4758">
        <w:rPr>
          <w:lang w:val="en-GB"/>
        </w:rPr>
        <w:t>identification of types of risks;</w:t>
      </w:r>
    </w:p>
    <w:p w14:paraId="04FA7702" w14:textId="0F88E5B0" w:rsidR="00D9650D" w:rsidRPr="00ED4758" w:rsidRDefault="00D94671" w:rsidP="0022284B">
      <w:pPr>
        <w:pStyle w:val="ListParagraph"/>
        <w:numPr>
          <w:ilvl w:val="0"/>
          <w:numId w:val="11"/>
        </w:numPr>
        <w:jc w:val="both"/>
        <w:rPr>
          <w:lang w:val="en-GB"/>
        </w:rPr>
      </w:pPr>
      <w:r w:rsidRPr="00ED4758">
        <w:rPr>
          <w:lang w:val="en-GB"/>
        </w:rPr>
        <w:t>i</w:t>
      </w:r>
      <w:r w:rsidR="00D9650D" w:rsidRPr="00ED4758">
        <w:rPr>
          <w:lang w:val="en-GB"/>
        </w:rPr>
        <w:t xml:space="preserve">dentification and initial risk assessment of </w:t>
      </w:r>
      <w:r w:rsidRPr="00ED4758">
        <w:rPr>
          <w:lang w:val="en-GB"/>
        </w:rPr>
        <w:t>operations</w:t>
      </w:r>
      <w:r w:rsidR="00D9650D" w:rsidRPr="00ED4758">
        <w:rPr>
          <w:lang w:val="en-GB"/>
        </w:rPr>
        <w:t xml:space="preserve"> and transactions;</w:t>
      </w:r>
    </w:p>
    <w:p w14:paraId="17B436A2" w14:textId="4FF42A15" w:rsidR="00D9650D" w:rsidRPr="00ED4758" w:rsidRDefault="00D9650D" w:rsidP="0022284B">
      <w:pPr>
        <w:pStyle w:val="ListParagraph"/>
        <w:numPr>
          <w:ilvl w:val="0"/>
          <w:numId w:val="11"/>
        </w:numPr>
        <w:jc w:val="both"/>
        <w:rPr>
          <w:lang w:val="en-GB"/>
        </w:rPr>
      </w:pPr>
      <w:r w:rsidRPr="00ED4758">
        <w:rPr>
          <w:lang w:val="en-GB"/>
        </w:rPr>
        <w:t>risk level forecasting;</w:t>
      </w:r>
    </w:p>
    <w:p w14:paraId="77A0B373" w14:textId="30B68651" w:rsidR="00D9650D" w:rsidRPr="00ED4758" w:rsidRDefault="00D9650D" w:rsidP="0022284B">
      <w:pPr>
        <w:pStyle w:val="ListParagraph"/>
        <w:numPr>
          <w:ilvl w:val="0"/>
          <w:numId w:val="11"/>
        </w:numPr>
        <w:jc w:val="both"/>
        <w:rPr>
          <w:lang w:val="en-GB"/>
        </w:rPr>
      </w:pPr>
      <w:r w:rsidRPr="00ED4758">
        <w:rPr>
          <w:lang w:val="en-GB"/>
        </w:rPr>
        <w:t xml:space="preserve">primary control of compliance with the established </w:t>
      </w:r>
      <w:r w:rsidR="00D94671" w:rsidRPr="00ED4758">
        <w:rPr>
          <w:lang w:val="en-GB"/>
        </w:rPr>
        <w:t xml:space="preserve">restrictions and </w:t>
      </w:r>
      <w:r w:rsidRPr="00ED4758">
        <w:rPr>
          <w:lang w:val="en-GB"/>
        </w:rPr>
        <w:t>limits;</w:t>
      </w:r>
    </w:p>
    <w:p w14:paraId="6B11315F" w14:textId="2596D1B2" w:rsidR="00D9650D" w:rsidRPr="00ED4758" w:rsidRDefault="00D9650D" w:rsidP="0022284B">
      <w:pPr>
        <w:pStyle w:val="ListParagraph"/>
        <w:numPr>
          <w:ilvl w:val="0"/>
          <w:numId w:val="11"/>
        </w:numPr>
        <w:jc w:val="both"/>
        <w:rPr>
          <w:lang w:val="en-GB"/>
        </w:rPr>
      </w:pPr>
      <w:r w:rsidRPr="00ED4758">
        <w:rPr>
          <w:lang w:val="en-GB"/>
        </w:rPr>
        <w:t>development and implementation of measures to comply with restrictions and limits;</w:t>
      </w:r>
    </w:p>
    <w:p w14:paraId="0D9FE740" w14:textId="2EB068DA" w:rsidR="00D9650D" w:rsidRPr="00ED4758" w:rsidRDefault="00D9650D" w:rsidP="0022284B">
      <w:pPr>
        <w:pStyle w:val="ListParagraph"/>
        <w:numPr>
          <w:ilvl w:val="0"/>
          <w:numId w:val="11"/>
        </w:numPr>
        <w:jc w:val="both"/>
        <w:rPr>
          <w:lang w:val="en-GB"/>
        </w:rPr>
      </w:pPr>
      <w:r w:rsidRPr="00ED4758">
        <w:rPr>
          <w:lang w:val="en-GB"/>
        </w:rPr>
        <w:t>risk acceptance and responsibility;</w:t>
      </w:r>
    </w:p>
    <w:p w14:paraId="4A773EB8" w14:textId="6A65E030" w:rsidR="00D9650D" w:rsidRPr="00ED4758" w:rsidRDefault="00D9650D" w:rsidP="0022284B">
      <w:pPr>
        <w:pStyle w:val="ListParagraph"/>
        <w:numPr>
          <w:ilvl w:val="0"/>
          <w:numId w:val="11"/>
        </w:numPr>
        <w:jc w:val="both"/>
        <w:rPr>
          <w:lang w:val="en-GB"/>
        </w:rPr>
      </w:pPr>
      <w:r w:rsidRPr="00ED4758">
        <w:rPr>
          <w:lang w:val="en-GB"/>
        </w:rPr>
        <w:t>reporting on the day-to-day management of such risks;</w:t>
      </w:r>
    </w:p>
    <w:p w14:paraId="50542F63" w14:textId="5DFB0174" w:rsidR="00D94671" w:rsidRPr="00ED4758" w:rsidRDefault="00D94671" w:rsidP="0022284B">
      <w:pPr>
        <w:pStyle w:val="ListParagraph"/>
        <w:numPr>
          <w:ilvl w:val="0"/>
          <w:numId w:val="11"/>
        </w:numPr>
        <w:jc w:val="both"/>
        <w:rPr>
          <w:lang w:val="en-GB"/>
        </w:rPr>
      </w:pPr>
      <w:r w:rsidRPr="00ED4758">
        <w:rPr>
          <w:lang w:val="en-GB"/>
        </w:rPr>
        <w:t>p</w:t>
      </w:r>
      <w:r w:rsidR="00D9650D" w:rsidRPr="00ED4758">
        <w:rPr>
          <w:lang w:val="en-GB"/>
        </w:rPr>
        <w:t xml:space="preserve">articipation in the development of policies, </w:t>
      </w:r>
      <w:r w:rsidRPr="00ED4758">
        <w:rPr>
          <w:lang w:val="en-GB"/>
        </w:rPr>
        <w:t>methodologies</w:t>
      </w:r>
      <w:r w:rsidR="00D9650D" w:rsidRPr="00ED4758">
        <w:rPr>
          <w:lang w:val="en-GB"/>
        </w:rPr>
        <w:t xml:space="preserve">, methods and </w:t>
      </w:r>
      <w:r w:rsidR="00AC742A">
        <w:rPr>
          <w:lang w:val="en-GB"/>
        </w:rPr>
        <w:t>instruments</w:t>
      </w:r>
      <w:r w:rsidR="00D9650D" w:rsidRPr="00ED4758">
        <w:rPr>
          <w:lang w:val="en-GB"/>
        </w:rPr>
        <w:t xml:space="preserve"> for managing appropriate risk</w:t>
      </w:r>
      <w:r w:rsidRPr="00ED4758">
        <w:rPr>
          <w:lang w:val="en-GB"/>
        </w:rPr>
        <w:t>;</w:t>
      </w:r>
    </w:p>
    <w:p w14:paraId="1E44D5A1" w14:textId="2BF8EF90" w:rsidR="00D94671" w:rsidRPr="00ED4758" w:rsidRDefault="00D94671" w:rsidP="0022284B">
      <w:pPr>
        <w:pStyle w:val="ListParagraph"/>
        <w:numPr>
          <w:ilvl w:val="0"/>
          <w:numId w:val="11"/>
        </w:numPr>
        <w:jc w:val="both"/>
        <w:rPr>
          <w:lang w:val="en-GB"/>
        </w:rPr>
      </w:pPr>
      <w:r w:rsidRPr="00ED4758">
        <w:rPr>
          <w:lang w:val="en-GB"/>
        </w:rPr>
        <w:t>p</w:t>
      </w:r>
      <w:r w:rsidR="00D9650D" w:rsidRPr="00ED4758">
        <w:rPr>
          <w:lang w:val="en-GB"/>
        </w:rPr>
        <w:t>articipation in stress testing.</w:t>
      </w:r>
    </w:p>
    <w:p w14:paraId="03622465" w14:textId="32C5AD84" w:rsidR="00D94671" w:rsidRPr="00ED4758" w:rsidRDefault="002035A3" w:rsidP="00D94671">
      <w:pPr>
        <w:ind w:firstLine="644"/>
        <w:jc w:val="both"/>
        <w:rPr>
          <w:lang w:val="en-GB"/>
        </w:rPr>
      </w:pPr>
      <w:r w:rsidRPr="00ED4758">
        <w:rPr>
          <w:u w:val="single"/>
          <w:lang w:val="en-GB"/>
        </w:rPr>
        <w:t xml:space="preserve">The </w:t>
      </w:r>
      <w:r w:rsidR="00193FF7">
        <w:rPr>
          <w:u w:val="single"/>
          <w:lang w:val="en-GB"/>
        </w:rPr>
        <w:t>2</w:t>
      </w:r>
      <w:r w:rsidR="00193FF7" w:rsidRPr="00193FF7">
        <w:rPr>
          <w:u w:val="single"/>
          <w:vertAlign w:val="superscript"/>
          <w:lang w:val="en-GB"/>
        </w:rPr>
        <w:t>nd</w:t>
      </w:r>
      <w:r w:rsidR="00193FF7">
        <w:rPr>
          <w:u w:val="single"/>
          <w:lang w:val="en-GB"/>
        </w:rPr>
        <w:t xml:space="preserve"> defence </w:t>
      </w:r>
      <w:r w:rsidRPr="00ED4758">
        <w:rPr>
          <w:u w:val="single"/>
          <w:lang w:val="en-GB"/>
        </w:rPr>
        <w:t>l</w:t>
      </w:r>
      <w:r w:rsidR="00D94671" w:rsidRPr="00ED4758">
        <w:rPr>
          <w:u w:val="single"/>
          <w:lang w:val="en-GB"/>
        </w:rPr>
        <w:t xml:space="preserve">ine </w:t>
      </w:r>
      <w:r w:rsidR="00D94671" w:rsidRPr="00ED4758">
        <w:rPr>
          <w:lang w:val="en-GB"/>
        </w:rPr>
        <w:t xml:space="preserve">is ensured by the Risk Management and Compliance </w:t>
      </w:r>
      <w:r w:rsidRPr="00ED4758">
        <w:rPr>
          <w:lang w:val="en-GB"/>
        </w:rPr>
        <w:t>departments</w:t>
      </w:r>
      <w:r w:rsidR="00D94671" w:rsidRPr="00ED4758">
        <w:rPr>
          <w:lang w:val="en-GB"/>
        </w:rPr>
        <w:t xml:space="preserve"> and </w:t>
      </w:r>
      <w:r w:rsidRPr="00ED4758">
        <w:rPr>
          <w:lang w:val="en-GB"/>
        </w:rPr>
        <w:t>means</w:t>
      </w:r>
      <w:r w:rsidR="00D94671" w:rsidRPr="00ED4758">
        <w:rPr>
          <w:lang w:val="en-GB"/>
        </w:rPr>
        <w:t xml:space="preserve"> independent risk assessment and control. The powers of the </w:t>
      </w:r>
      <w:r w:rsidR="00193FF7">
        <w:rPr>
          <w:lang w:val="en-GB"/>
        </w:rPr>
        <w:t>2</w:t>
      </w:r>
      <w:r w:rsidR="00193FF7" w:rsidRPr="00193FF7">
        <w:rPr>
          <w:vertAlign w:val="superscript"/>
          <w:lang w:val="en-GB"/>
        </w:rPr>
        <w:t>nd</w:t>
      </w:r>
      <w:r w:rsidR="00D94671" w:rsidRPr="00ED4758">
        <w:rPr>
          <w:lang w:val="en-GB"/>
        </w:rPr>
        <w:t xml:space="preserve"> line include:</w:t>
      </w:r>
    </w:p>
    <w:p w14:paraId="671AEC90" w14:textId="2AF571BE" w:rsidR="00D94671" w:rsidRPr="00ED4758" w:rsidRDefault="00D94671" w:rsidP="0022284B">
      <w:pPr>
        <w:pStyle w:val="ListParagraph"/>
        <w:numPr>
          <w:ilvl w:val="0"/>
          <w:numId w:val="11"/>
        </w:numPr>
        <w:jc w:val="both"/>
        <w:rPr>
          <w:lang w:val="en-GB"/>
        </w:rPr>
      </w:pPr>
      <w:r w:rsidRPr="00ED4758">
        <w:rPr>
          <w:lang w:val="en-GB"/>
        </w:rPr>
        <w:t xml:space="preserve">identification and assessment of </w:t>
      </w:r>
      <w:r w:rsidR="002035A3" w:rsidRPr="00ED4758">
        <w:rPr>
          <w:lang w:val="en-GB"/>
        </w:rPr>
        <w:t>risk</w:t>
      </w:r>
      <w:r w:rsidRPr="00ED4758">
        <w:rPr>
          <w:lang w:val="en-GB"/>
        </w:rPr>
        <w:t xml:space="preserve"> types</w:t>
      </w:r>
      <w:r w:rsidR="00193FF7">
        <w:rPr>
          <w:lang w:val="en-GB"/>
        </w:rPr>
        <w:t xml:space="preserve"> significance</w:t>
      </w:r>
      <w:r w:rsidRPr="00ED4758">
        <w:rPr>
          <w:lang w:val="en-GB"/>
        </w:rPr>
        <w:t>;</w:t>
      </w:r>
    </w:p>
    <w:p w14:paraId="0EF24128" w14:textId="6CC88B57" w:rsidR="00D94671" w:rsidRPr="00ED4758" w:rsidRDefault="00D94671" w:rsidP="0022284B">
      <w:pPr>
        <w:pStyle w:val="ListParagraph"/>
        <w:numPr>
          <w:ilvl w:val="0"/>
          <w:numId w:val="11"/>
        </w:numPr>
        <w:jc w:val="both"/>
        <w:rPr>
          <w:lang w:val="en-GB"/>
        </w:rPr>
      </w:pPr>
      <w:r w:rsidRPr="00ED4758">
        <w:rPr>
          <w:lang w:val="en-GB"/>
        </w:rPr>
        <w:t>harmoni</w:t>
      </w:r>
      <w:r w:rsidR="002035A3" w:rsidRPr="00ED4758">
        <w:rPr>
          <w:lang w:val="en-GB"/>
        </w:rPr>
        <w:t>s</w:t>
      </w:r>
      <w:r w:rsidRPr="00ED4758">
        <w:rPr>
          <w:lang w:val="en-GB"/>
        </w:rPr>
        <w:t>ation of risk management and risk assessment methodology;</w:t>
      </w:r>
    </w:p>
    <w:p w14:paraId="7EBA6422" w14:textId="645DDB2D" w:rsidR="00D94671" w:rsidRPr="00ED4758" w:rsidRDefault="00D94671" w:rsidP="0022284B">
      <w:pPr>
        <w:pStyle w:val="ListParagraph"/>
        <w:numPr>
          <w:ilvl w:val="0"/>
          <w:numId w:val="11"/>
        </w:numPr>
        <w:jc w:val="both"/>
        <w:rPr>
          <w:lang w:val="en-GB"/>
        </w:rPr>
      </w:pPr>
      <w:r w:rsidRPr="00ED4758">
        <w:rPr>
          <w:lang w:val="en-GB"/>
        </w:rPr>
        <w:t>assessment of the aggregate (</w:t>
      </w:r>
      <w:r w:rsidR="002035A3" w:rsidRPr="00ED4758">
        <w:rPr>
          <w:lang w:val="en-GB"/>
        </w:rPr>
        <w:t>total</w:t>
      </w:r>
      <w:r w:rsidRPr="00ED4758">
        <w:rPr>
          <w:lang w:val="en-GB"/>
        </w:rPr>
        <w:t>) level of risks;</w:t>
      </w:r>
    </w:p>
    <w:p w14:paraId="4FA06CEE" w14:textId="46024E30" w:rsidR="00D94671" w:rsidRPr="00ED4758" w:rsidRDefault="00D94671" w:rsidP="0022284B">
      <w:pPr>
        <w:pStyle w:val="ListParagraph"/>
        <w:numPr>
          <w:ilvl w:val="0"/>
          <w:numId w:val="11"/>
        </w:numPr>
        <w:jc w:val="both"/>
        <w:rPr>
          <w:lang w:val="en-GB"/>
        </w:rPr>
      </w:pPr>
      <w:r w:rsidRPr="00ED4758">
        <w:rPr>
          <w:lang w:val="en-GB"/>
        </w:rPr>
        <w:t>risk level forecasting;</w:t>
      </w:r>
    </w:p>
    <w:p w14:paraId="587FB49C" w14:textId="60E2EBE8" w:rsidR="00D94671" w:rsidRPr="00ED4758" w:rsidRDefault="00D94671" w:rsidP="0022284B">
      <w:pPr>
        <w:pStyle w:val="ListParagraph"/>
        <w:numPr>
          <w:ilvl w:val="0"/>
          <w:numId w:val="11"/>
        </w:numPr>
        <w:jc w:val="both"/>
        <w:rPr>
          <w:lang w:val="en-GB"/>
        </w:rPr>
      </w:pPr>
      <w:r w:rsidRPr="00ED4758">
        <w:rPr>
          <w:lang w:val="en-GB"/>
        </w:rPr>
        <w:t>development of a system of limitations of risk</w:t>
      </w:r>
      <w:r w:rsidR="002035A3" w:rsidRPr="00ED4758">
        <w:rPr>
          <w:lang w:val="en-GB"/>
        </w:rPr>
        <w:t xml:space="preserve"> levels</w:t>
      </w:r>
      <w:r w:rsidRPr="00ED4758">
        <w:rPr>
          <w:lang w:val="en-GB"/>
        </w:rPr>
        <w:t>;</w:t>
      </w:r>
    </w:p>
    <w:p w14:paraId="3640AFD2" w14:textId="1F9F6F6D" w:rsidR="00D94671" w:rsidRPr="00ED4758" w:rsidRDefault="00D94671" w:rsidP="0022284B">
      <w:pPr>
        <w:pStyle w:val="ListParagraph"/>
        <w:numPr>
          <w:ilvl w:val="0"/>
          <w:numId w:val="11"/>
        </w:numPr>
        <w:jc w:val="both"/>
        <w:rPr>
          <w:lang w:val="en-GB"/>
        </w:rPr>
      </w:pPr>
      <w:r w:rsidRPr="00ED4758">
        <w:rPr>
          <w:lang w:val="en-GB"/>
        </w:rPr>
        <w:t xml:space="preserve">independent from the </w:t>
      </w:r>
      <w:r w:rsidR="002035A3" w:rsidRPr="00ED4758">
        <w:rPr>
          <w:lang w:val="en-GB"/>
        </w:rPr>
        <w:t>1</w:t>
      </w:r>
      <w:r w:rsidR="002035A3" w:rsidRPr="00193FF7">
        <w:rPr>
          <w:vertAlign w:val="superscript"/>
          <w:lang w:val="en-GB"/>
        </w:rPr>
        <w:t>st</w:t>
      </w:r>
      <w:r w:rsidR="00193FF7">
        <w:rPr>
          <w:lang w:val="en-GB"/>
        </w:rPr>
        <w:t xml:space="preserve"> </w:t>
      </w:r>
      <w:r w:rsidRPr="00ED4758">
        <w:rPr>
          <w:lang w:val="en-GB"/>
        </w:rPr>
        <w:t xml:space="preserve">line risk assessment, control of compliance </w:t>
      </w:r>
      <w:r w:rsidR="002035A3" w:rsidRPr="00ED4758">
        <w:rPr>
          <w:lang w:val="en-GB"/>
        </w:rPr>
        <w:t>of</w:t>
      </w:r>
      <w:r w:rsidRPr="00ED4758">
        <w:rPr>
          <w:lang w:val="en-GB"/>
        </w:rPr>
        <w:t xml:space="preserve"> the actual </w:t>
      </w:r>
      <w:r w:rsidR="002035A3" w:rsidRPr="00ED4758">
        <w:rPr>
          <w:lang w:val="en-GB"/>
        </w:rPr>
        <w:t xml:space="preserve">and forecasted </w:t>
      </w:r>
      <w:r w:rsidRPr="00ED4758">
        <w:rPr>
          <w:lang w:val="en-GB"/>
        </w:rPr>
        <w:t>level</w:t>
      </w:r>
      <w:r w:rsidR="002035A3" w:rsidRPr="00ED4758">
        <w:rPr>
          <w:lang w:val="en-GB"/>
        </w:rPr>
        <w:t>s</w:t>
      </w:r>
      <w:r w:rsidRPr="00ED4758">
        <w:rPr>
          <w:lang w:val="en-GB"/>
        </w:rPr>
        <w:t xml:space="preserve"> of </w:t>
      </w:r>
      <w:r w:rsidR="00193FF7">
        <w:rPr>
          <w:lang w:val="en-GB"/>
        </w:rPr>
        <w:t xml:space="preserve">a </w:t>
      </w:r>
      <w:r w:rsidRPr="00ED4758">
        <w:rPr>
          <w:lang w:val="en-GB"/>
        </w:rPr>
        <w:t xml:space="preserve">risk </w:t>
      </w:r>
      <w:r w:rsidR="002035A3" w:rsidRPr="00ED4758">
        <w:rPr>
          <w:lang w:val="en-GB"/>
        </w:rPr>
        <w:t>with</w:t>
      </w:r>
      <w:r w:rsidRPr="00ED4758">
        <w:rPr>
          <w:lang w:val="en-GB"/>
        </w:rPr>
        <w:t xml:space="preserve"> </w:t>
      </w:r>
      <w:r w:rsidR="002035A3" w:rsidRPr="00ED4758">
        <w:rPr>
          <w:lang w:val="en-GB"/>
        </w:rPr>
        <w:t>the</w:t>
      </w:r>
      <w:r w:rsidRPr="00ED4758">
        <w:rPr>
          <w:lang w:val="en-GB"/>
        </w:rPr>
        <w:t xml:space="preserve"> set limits;</w:t>
      </w:r>
    </w:p>
    <w:p w14:paraId="6AA5DB63" w14:textId="74B1B209" w:rsidR="00D94671" w:rsidRPr="00ED4758" w:rsidRDefault="00D94671" w:rsidP="0022284B">
      <w:pPr>
        <w:pStyle w:val="ListParagraph"/>
        <w:numPr>
          <w:ilvl w:val="0"/>
          <w:numId w:val="11"/>
        </w:numPr>
        <w:jc w:val="both"/>
        <w:rPr>
          <w:lang w:val="en-GB"/>
        </w:rPr>
      </w:pPr>
      <w:r w:rsidRPr="00ED4758">
        <w:rPr>
          <w:lang w:val="en-GB"/>
        </w:rPr>
        <w:t xml:space="preserve">development of procedures for escalation of risk limit violations and control </w:t>
      </w:r>
      <w:r w:rsidR="002035A3" w:rsidRPr="00ED4758">
        <w:rPr>
          <w:lang w:val="en-GB"/>
        </w:rPr>
        <w:t>over</w:t>
      </w:r>
      <w:r w:rsidRPr="00ED4758">
        <w:rPr>
          <w:lang w:val="en-GB"/>
        </w:rPr>
        <w:t xml:space="preserve"> implementation of measures for elimination</w:t>
      </w:r>
      <w:r w:rsidR="00193FF7">
        <w:rPr>
          <w:lang w:val="en-GB"/>
        </w:rPr>
        <w:t xml:space="preserve"> of a</w:t>
      </w:r>
      <w:r w:rsidR="00193FF7" w:rsidRPr="00193FF7">
        <w:rPr>
          <w:lang w:val="en-GB"/>
        </w:rPr>
        <w:t xml:space="preserve"> </w:t>
      </w:r>
      <w:r w:rsidR="00193FF7" w:rsidRPr="00ED4758">
        <w:rPr>
          <w:lang w:val="en-GB"/>
        </w:rPr>
        <w:t>violation</w:t>
      </w:r>
      <w:r w:rsidR="00193FF7">
        <w:rPr>
          <w:lang w:val="en-GB"/>
        </w:rPr>
        <w:t>;</w:t>
      </w:r>
    </w:p>
    <w:p w14:paraId="77DE4578" w14:textId="4374E16A" w:rsidR="00D94671" w:rsidRPr="00ED4758" w:rsidRDefault="00D94671" w:rsidP="0022284B">
      <w:pPr>
        <w:pStyle w:val="ListParagraph"/>
        <w:numPr>
          <w:ilvl w:val="0"/>
          <w:numId w:val="11"/>
        </w:numPr>
        <w:jc w:val="both"/>
        <w:rPr>
          <w:lang w:val="en-GB"/>
        </w:rPr>
      </w:pPr>
      <w:r w:rsidRPr="00ED4758">
        <w:rPr>
          <w:lang w:val="en-GB"/>
        </w:rPr>
        <w:t>control over compliance with mandatory regulatory standards;</w:t>
      </w:r>
    </w:p>
    <w:p w14:paraId="251C0B00" w14:textId="08570A04" w:rsidR="00D94671" w:rsidRPr="00ED4758" w:rsidRDefault="00D94671" w:rsidP="0022284B">
      <w:pPr>
        <w:pStyle w:val="ListParagraph"/>
        <w:numPr>
          <w:ilvl w:val="0"/>
          <w:numId w:val="11"/>
        </w:numPr>
        <w:jc w:val="both"/>
        <w:rPr>
          <w:lang w:val="en-GB"/>
        </w:rPr>
      </w:pPr>
      <w:r w:rsidRPr="00ED4758">
        <w:rPr>
          <w:lang w:val="en-GB"/>
        </w:rPr>
        <w:t>organi</w:t>
      </w:r>
      <w:r w:rsidR="002035A3" w:rsidRPr="00ED4758">
        <w:rPr>
          <w:lang w:val="en-GB"/>
        </w:rPr>
        <w:t>s</w:t>
      </w:r>
      <w:r w:rsidRPr="00ED4758">
        <w:rPr>
          <w:lang w:val="en-GB"/>
        </w:rPr>
        <w:t>ation</w:t>
      </w:r>
      <w:r w:rsidR="002035A3" w:rsidRPr="00ED4758">
        <w:rPr>
          <w:lang w:val="en-GB"/>
        </w:rPr>
        <w:t>/</w:t>
      </w:r>
      <w:r w:rsidRPr="00ED4758">
        <w:rPr>
          <w:lang w:val="en-GB"/>
        </w:rPr>
        <w:t>conduct of stress testing procedures;</w:t>
      </w:r>
    </w:p>
    <w:p w14:paraId="3FDEC2F6" w14:textId="7BDD4761" w:rsidR="00D94671" w:rsidRPr="00ED4758" w:rsidRDefault="002035A3" w:rsidP="0022284B">
      <w:pPr>
        <w:pStyle w:val="ListParagraph"/>
        <w:numPr>
          <w:ilvl w:val="0"/>
          <w:numId w:val="11"/>
        </w:numPr>
        <w:jc w:val="both"/>
        <w:rPr>
          <w:lang w:val="en-GB"/>
        </w:rPr>
      </w:pPr>
      <w:r w:rsidRPr="00ED4758">
        <w:rPr>
          <w:lang w:val="en-GB"/>
        </w:rPr>
        <w:t>preparing</w:t>
      </w:r>
      <w:r w:rsidR="00D94671" w:rsidRPr="00ED4758">
        <w:rPr>
          <w:lang w:val="en-GB"/>
        </w:rPr>
        <w:t xml:space="preserve"> risk reports and </w:t>
      </w:r>
      <w:r w:rsidRPr="00ED4758">
        <w:rPr>
          <w:lang w:val="en-GB"/>
        </w:rPr>
        <w:t>submitting</w:t>
      </w:r>
      <w:r w:rsidR="00D94671" w:rsidRPr="00ED4758">
        <w:rPr>
          <w:lang w:val="en-GB"/>
        </w:rPr>
        <w:t xml:space="preserve"> them to management and collegial bodies;</w:t>
      </w:r>
    </w:p>
    <w:p w14:paraId="10CCB825" w14:textId="21F280EC" w:rsidR="00D94671" w:rsidRPr="00ED4758" w:rsidRDefault="002035A3" w:rsidP="0022284B">
      <w:pPr>
        <w:pStyle w:val="ListParagraph"/>
        <w:numPr>
          <w:ilvl w:val="0"/>
          <w:numId w:val="11"/>
        </w:numPr>
        <w:jc w:val="both"/>
        <w:rPr>
          <w:lang w:val="en-GB"/>
        </w:rPr>
      </w:pPr>
      <w:r w:rsidRPr="00ED4758">
        <w:rPr>
          <w:lang w:val="en-GB"/>
        </w:rPr>
        <w:t>r</w:t>
      </w:r>
      <w:r w:rsidR="00D94671" w:rsidRPr="00ED4758">
        <w:rPr>
          <w:lang w:val="en-GB"/>
        </w:rPr>
        <w:t>isk culture development.</w:t>
      </w:r>
    </w:p>
    <w:p w14:paraId="61F18552" w14:textId="615FC80C" w:rsidR="002035A3" w:rsidRPr="00ED4758" w:rsidRDefault="002035A3" w:rsidP="00882859">
      <w:pPr>
        <w:ind w:firstLine="646"/>
        <w:jc w:val="both"/>
        <w:rPr>
          <w:lang w:val="en-GB"/>
        </w:rPr>
      </w:pPr>
      <w:r w:rsidRPr="00ED4758">
        <w:rPr>
          <w:u w:val="single"/>
          <w:lang w:val="en-GB"/>
        </w:rPr>
        <w:t xml:space="preserve">The </w:t>
      </w:r>
      <w:r w:rsidR="00193FF7">
        <w:rPr>
          <w:u w:val="single"/>
          <w:lang w:val="en-GB"/>
        </w:rPr>
        <w:t>3</w:t>
      </w:r>
      <w:r w:rsidR="00193FF7" w:rsidRPr="00193FF7">
        <w:rPr>
          <w:u w:val="single"/>
          <w:vertAlign w:val="superscript"/>
          <w:lang w:val="en-GB"/>
        </w:rPr>
        <w:t>rd</w:t>
      </w:r>
      <w:r w:rsidR="00193FF7">
        <w:rPr>
          <w:u w:val="single"/>
          <w:lang w:val="en-GB"/>
        </w:rPr>
        <w:t xml:space="preserve"> defence</w:t>
      </w:r>
      <w:r w:rsidRPr="00ED4758">
        <w:rPr>
          <w:u w:val="single"/>
          <w:lang w:val="en-GB"/>
        </w:rPr>
        <w:t xml:space="preserve"> line </w:t>
      </w:r>
      <w:r w:rsidRPr="00ED4758">
        <w:rPr>
          <w:lang w:val="en-GB"/>
        </w:rPr>
        <w:t>is ensured by the Internal Audit Service and means assessing the efficien</w:t>
      </w:r>
      <w:r w:rsidR="00882859" w:rsidRPr="00ED4758">
        <w:rPr>
          <w:lang w:val="en-GB"/>
        </w:rPr>
        <w:t>cy</w:t>
      </w:r>
      <w:r w:rsidRPr="00ED4758">
        <w:rPr>
          <w:lang w:val="en-GB"/>
        </w:rPr>
        <w:t xml:space="preserve"> of the risk management system, independent assessment of the compliance of the risk management system with internal and external requirements. The powers of </w:t>
      </w:r>
      <w:r w:rsidR="00193FF7">
        <w:rPr>
          <w:lang w:val="en-GB"/>
        </w:rPr>
        <w:t>the 3</w:t>
      </w:r>
      <w:r w:rsidR="00193FF7" w:rsidRPr="00193FF7">
        <w:rPr>
          <w:vertAlign w:val="superscript"/>
          <w:lang w:val="en-GB"/>
        </w:rPr>
        <w:t>rd</w:t>
      </w:r>
      <w:r w:rsidR="00193FF7">
        <w:rPr>
          <w:lang w:val="en-GB"/>
        </w:rPr>
        <w:t xml:space="preserve"> </w:t>
      </w:r>
      <w:r w:rsidRPr="00ED4758">
        <w:rPr>
          <w:lang w:val="en-GB"/>
        </w:rPr>
        <w:t>line include:</w:t>
      </w:r>
    </w:p>
    <w:p w14:paraId="09948B7C" w14:textId="3ACF535E" w:rsidR="002035A3" w:rsidRPr="00ED4758" w:rsidRDefault="002035A3" w:rsidP="0022284B">
      <w:pPr>
        <w:pStyle w:val="ListParagraph"/>
        <w:numPr>
          <w:ilvl w:val="0"/>
          <w:numId w:val="11"/>
        </w:numPr>
        <w:jc w:val="both"/>
        <w:rPr>
          <w:lang w:val="en-GB"/>
        </w:rPr>
      </w:pPr>
      <w:r w:rsidRPr="00ED4758">
        <w:rPr>
          <w:lang w:val="en-GB"/>
        </w:rPr>
        <w:t xml:space="preserve">assessing </w:t>
      </w:r>
      <w:r w:rsidR="00882859" w:rsidRPr="00ED4758">
        <w:rPr>
          <w:lang w:val="en-GB"/>
        </w:rPr>
        <w:t xml:space="preserve">efficiency of </w:t>
      </w:r>
      <w:r w:rsidRPr="00ED4758">
        <w:rPr>
          <w:lang w:val="en-GB"/>
        </w:rPr>
        <w:t>the risk management system;</w:t>
      </w:r>
    </w:p>
    <w:p w14:paraId="22B7CEB8" w14:textId="0E7357B6" w:rsidR="002035A3" w:rsidRPr="00ED4758" w:rsidRDefault="002035A3" w:rsidP="0022284B">
      <w:pPr>
        <w:pStyle w:val="ListParagraph"/>
        <w:numPr>
          <w:ilvl w:val="0"/>
          <w:numId w:val="11"/>
        </w:numPr>
        <w:jc w:val="both"/>
        <w:rPr>
          <w:lang w:val="en-GB"/>
        </w:rPr>
      </w:pPr>
      <w:r w:rsidRPr="00ED4758">
        <w:rPr>
          <w:lang w:val="en-GB"/>
        </w:rPr>
        <w:t xml:space="preserve">verification of the </w:t>
      </w:r>
      <w:r w:rsidR="00882859" w:rsidRPr="00ED4758">
        <w:rPr>
          <w:lang w:val="en-GB"/>
        </w:rPr>
        <w:t>efficiency</w:t>
      </w:r>
      <w:r w:rsidRPr="00ED4758">
        <w:rPr>
          <w:lang w:val="en-GB"/>
        </w:rPr>
        <w:t xml:space="preserve"> of the banking risk assessment </w:t>
      </w:r>
      <w:r w:rsidR="00882859" w:rsidRPr="00ED4758">
        <w:rPr>
          <w:lang w:val="en-GB"/>
        </w:rPr>
        <w:t xml:space="preserve">methodology </w:t>
      </w:r>
      <w:r w:rsidRPr="00ED4758">
        <w:rPr>
          <w:lang w:val="en-GB"/>
        </w:rPr>
        <w:t>and procedures;</w:t>
      </w:r>
    </w:p>
    <w:p w14:paraId="008224F1" w14:textId="579773D9" w:rsidR="002035A3" w:rsidRPr="00ED4758" w:rsidRDefault="002035A3" w:rsidP="0022284B">
      <w:pPr>
        <w:pStyle w:val="ListParagraph"/>
        <w:numPr>
          <w:ilvl w:val="0"/>
          <w:numId w:val="11"/>
        </w:numPr>
        <w:jc w:val="both"/>
        <w:rPr>
          <w:lang w:val="en-GB"/>
        </w:rPr>
      </w:pPr>
      <w:r w:rsidRPr="00ED4758">
        <w:rPr>
          <w:lang w:val="en-GB"/>
        </w:rPr>
        <w:t xml:space="preserve">informing management about </w:t>
      </w:r>
      <w:r w:rsidR="00882859" w:rsidRPr="00ED4758">
        <w:rPr>
          <w:lang w:val="en-GB"/>
        </w:rPr>
        <w:t>detected</w:t>
      </w:r>
      <w:r w:rsidRPr="00ED4758">
        <w:rPr>
          <w:lang w:val="en-GB"/>
        </w:rPr>
        <w:t xml:space="preserve"> deficiencies in the risk management system;</w:t>
      </w:r>
    </w:p>
    <w:p w14:paraId="1BCFD897" w14:textId="4923AFCB" w:rsidR="002035A3" w:rsidRPr="00ED4758" w:rsidRDefault="002035A3" w:rsidP="0022284B">
      <w:pPr>
        <w:pStyle w:val="ListParagraph"/>
        <w:numPr>
          <w:ilvl w:val="0"/>
          <w:numId w:val="11"/>
        </w:numPr>
        <w:jc w:val="both"/>
        <w:rPr>
          <w:lang w:val="en-GB"/>
        </w:rPr>
      </w:pPr>
      <w:r w:rsidRPr="00ED4758">
        <w:rPr>
          <w:lang w:val="en-GB"/>
        </w:rPr>
        <w:t xml:space="preserve">control of elimination of </w:t>
      </w:r>
      <w:r w:rsidR="00882859" w:rsidRPr="00ED4758">
        <w:rPr>
          <w:lang w:val="en-GB"/>
        </w:rPr>
        <w:t>detected</w:t>
      </w:r>
      <w:r w:rsidRPr="00ED4758">
        <w:rPr>
          <w:lang w:val="en-GB"/>
        </w:rPr>
        <w:t xml:space="preserve"> deficiencies in the risk management system.</w:t>
      </w:r>
    </w:p>
    <w:p w14:paraId="0FB4E4B0" w14:textId="77777777" w:rsidR="002035A3" w:rsidRPr="00ED4758" w:rsidRDefault="002035A3" w:rsidP="002035A3">
      <w:pPr>
        <w:jc w:val="both"/>
        <w:rPr>
          <w:lang w:val="en-GB"/>
        </w:rPr>
      </w:pPr>
    </w:p>
    <w:p w14:paraId="29B5EC06" w14:textId="41570A67" w:rsidR="002035A3" w:rsidRPr="00ED4758" w:rsidRDefault="002035A3" w:rsidP="00882859">
      <w:pPr>
        <w:ind w:firstLine="646"/>
        <w:jc w:val="both"/>
        <w:rPr>
          <w:lang w:val="en-GB"/>
        </w:rPr>
      </w:pPr>
      <w:r w:rsidRPr="00ED4758">
        <w:rPr>
          <w:lang w:val="en-GB"/>
        </w:rPr>
        <w:t xml:space="preserve">Considering the types of activities, scales, specifics of the Bank's operations, as well as taking into account the recommendations of the National Bank of Ukraine, the significant risks </w:t>
      </w:r>
      <w:r w:rsidR="00193FF7">
        <w:rPr>
          <w:lang w:val="en-GB"/>
        </w:rPr>
        <w:t>attributable to</w:t>
      </w:r>
      <w:r w:rsidRPr="00ED4758">
        <w:rPr>
          <w:lang w:val="en-GB"/>
        </w:rPr>
        <w:t xml:space="preserve"> the Bank's activities </w:t>
      </w:r>
      <w:r w:rsidR="00882859" w:rsidRPr="00ED4758">
        <w:rPr>
          <w:lang w:val="en-GB"/>
        </w:rPr>
        <w:t>include</w:t>
      </w:r>
      <w:r w:rsidRPr="00ED4758">
        <w:rPr>
          <w:lang w:val="en-GB"/>
        </w:rPr>
        <w:t>:</w:t>
      </w:r>
    </w:p>
    <w:p w14:paraId="432C673A" w14:textId="0530BAEE" w:rsidR="002035A3" w:rsidRPr="00ED4758" w:rsidRDefault="002035A3" w:rsidP="0022284B">
      <w:pPr>
        <w:pStyle w:val="ListParagraph"/>
        <w:numPr>
          <w:ilvl w:val="0"/>
          <w:numId w:val="13"/>
        </w:numPr>
        <w:jc w:val="both"/>
        <w:rPr>
          <w:lang w:val="en-GB"/>
        </w:rPr>
      </w:pPr>
      <w:r w:rsidRPr="00ED4758">
        <w:rPr>
          <w:lang w:val="en-GB"/>
        </w:rPr>
        <w:t>Credit risk.</w:t>
      </w:r>
    </w:p>
    <w:p w14:paraId="6067D0E7" w14:textId="77777777" w:rsidR="00882859" w:rsidRPr="00ED4758" w:rsidRDefault="002035A3" w:rsidP="0022284B">
      <w:pPr>
        <w:pStyle w:val="ListParagraph"/>
        <w:numPr>
          <w:ilvl w:val="0"/>
          <w:numId w:val="13"/>
        </w:numPr>
        <w:jc w:val="both"/>
        <w:rPr>
          <w:lang w:val="en-GB"/>
        </w:rPr>
      </w:pPr>
      <w:r w:rsidRPr="00ED4758">
        <w:rPr>
          <w:lang w:val="en-GB"/>
        </w:rPr>
        <w:t>Liquidity risk.</w:t>
      </w:r>
    </w:p>
    <w:p w14:paraId="6B9C1574" w14:textId="77777777" w:rsidR="00882859" w:rsidRPr="00ED4758" w:rsidRDefault="002035A3" w:rsidP="0022284B">
      <w:pPr>
        <w:pStyle w:val="ListParagraph"/>
        <w:numPr>
          <w:ilvl w:val="0"/>
          <w:numId w:val="13"/>
        </w:numPr>
        <w:jc w:val="both"/>
        <w:rPr>
          <w:lang w:val="en-GB"/>
        </w:rPr>
      </w:pPr>
      <w:r w:rsidRPr="00ED4758">
        <w:rPr>
          <w:lang w:val="en-GB"/>
        </w:rPr>
        <w:t>Banking book interest rate risk.</w:t>
      </w:r>
    </w:p>
    <w:p w14:paraId="07D70F5F" w14:textId="5CE22B18" w:rsidR="002035A3" w:rsidRPr="00ED4758" w:rsidRDefault="002035A3" w:rsidP="0022284B">
      <w:pPr>
        <w:pStyle w:val="ListParagraph"/>
        <w:numPr>
          <w:ilvl w:val="0"/>
          <w:numId w:val="13"/>
        </w:numPr>
        <w:jc w:val="both"/>
        <w:rPr>
          <w:lang w:val="en-GB"/>
        </w:rPr>
      </w:pPr>
      <w:r w:rsidRPr="00ED4758">
        <w:rPr>
          <w:lang w:val="en-GB"/>
        </w:rPr>
        <w:t>Market risk.</w:t>
      </w:r>
    </w:p>
    <w:p w14:paraId="62F2EBDB" w14:textId="77777777" w:rsidR="00882859" w:rsidRPr="00ED4758" w:rsidRDefault="002035A3" w:rsidP="0022284B">
      <w:pPr>
        <w:pStyle w:val="ListParagraph"/>
        <w:numPr>
          <w:ilvl w:val="0"/>
          <w:numId w:val="13"/>
        </w:numPr>
        <w:jc w:val="both"/>
        <w:rPr>
          <w:lang w:val="en-GB"/>
        </w:rPr>
      </w:pPr>
      <w:r w:rsidRPr="00ED4758">
        <w:rPr>
          <w:lang w:val="en-GB"/>
        </w:rPr>
        <w:t>Operational risk (including information risk).</w:t>
      </w:r>
    </w:p>
    <w:p w14:paraId="0FD12A32" w14:textId="4CE6C850" w:rsidR="002035A3" w:rsidRPr="00ED4758" w:rsidRDefault="002035A3" w:rsidP="0022284B">
      <w:pPr>
        <w:pStyle w:val="ListParagraph"/>
        <w:numPr>
          <w:ilvl w:val="0"/>
          <w:numId w:val="13"/>
        </w:numPr>
        <w:jc w:val="both"/>
        <w:rPr>
          <w:lang w:val="en-GB"/>
        </w:rPr>
      </w:pPr>
      <w:r w:rsidRPr="00ED4758">
        <w:rPr>
          <w:lang w:val="en-GB"/>
        </w:rPr>
        <w:t>Compliance is risk (including reputation</w:t>
      </w:r>
      <w:r w:rsidR="00193FF7">
        <w:rPr>
          <w:lang w:val="en-GB"/>
        </w:rPr>
        <w:t>al</w:t>
      </w:r>
      <w:r w:rsidRPr="00ED4758">
        <w:rPr>
          <w:lang w:val="en-GB"/>
        </w:rPr>
        <w:t xml:space="preserve"> risk).</w:t>
      </w:r>
    </w:p>
    <w:p w14:paraId="664C71D7" w14:textId="23D248BD" w:rsidR="002035A3" w:rsidRPr="00ED4758" w:rsidRDefault="002035A3" w:rsidP="0022284B">
      <w:pPr>
        <w:pStyle w:val="ListParagraph"/>
        <w:numPr>
          <w:ilvl w:val="0"/>
          <w:numId w:val="13"/>
        </w:numPr>
        <w:jc w:val="both"/>
        <w:rPr>
          <w:lang w:val="en-GB"/>
        </w:rPr>
      </w:pPr>
      <w:r w:rsidRPr="00ED4758">
        <w:rPr>
          <w:lang w:val="en-GB"/>
        </w:rPr>
        <w:t>Strategic risk.</w:t>
      </w:r>
    </w:p>
    <w:p w14:paraId="1DB82F5B" w14:textId="2BC0111B" w:rsidR="002035A3" w:rsidRPr="00ED4758" w:rsidRDefault="002035A3" w:rsidP="0022284B">
      <w:pPr>
        <w:pStyle w:val="ListParagraph"/>
        <w:numPr>
          <w:ilvl w:val="0"/>
          <w:numId w:val="13"/>
        </w:numPr>
        <w:jc w:val="both"/>
        <w:rPr>
          <w:lang w:val="en-GB"/>
        </w:rPr>
      </w:pPr>
      <w:r w:rsidRPr="00ED4758">
        <w:rPr>
          <w:lang w:val="en-GB"/>
        </w:rPr>
        <w:t>Real estate risk.</w:t>
      </w:r>
    </w:p>
    <w:p w14:paraId="73613C00" w14:textId="25B320D7" w:rsidR="00847B54" w:rsidRPr="00ED4758" w:rsidRDefault="002035A3" w:rsidP="00882859">
      <w:pPr>
        <w:ind w:firstLine="646"/>
        <w:jc w:val="both"/>
        <w:rPr>
          <w:highlight w:val="yellow"/>
          <w:lang w:val="en-GB"/>
        </w:rPr>
      </w:pPr>
      <w:r w:rsidRPr="00ED4758">
        <w:rPr>
          <w:lang w:val="en-GB"/>
        </w:rPr>
        <w:lastRenderedPageBreak/>
        <w:t>The main task of improving the risk management system fac</w:t>
      </w:r>
      <w:r w:rsidR="00193FF7">
        <w:rPr>
          <w:lang w:val="en-GB"/>
        </w:rPr>
        <w:t>ed by</w:t>
      </w:r>
      <w:r w:rsidRPr="00ED4758">
        <w:rPr>
          <w:lang w:val="en-GB"/>
        </w:rPr>
        <w:t xml:space="preserve"> the Bank in the reporting year was full compliance with the requirements of the Regulation on the organi</w:t>
      </w:r>
      <w:r w:rsidR="00193FF7">
        <w:rPr>
          <w:lang w:val="en-GB"/>
        </w:rPr>
        <w:t>s</w:t>
      </w:r>
      <w:r w:rsidRPr="00ED4758">
        <w:rPr>
          <w:lang w:val="en-GB"/>
        </w:rPr>
        <w:t>ation of risk management system in banks of Ukraine and banking groups, approved by the NBU Resolution №64 of 11.06.2018.</w:t>
      </w:r>
    </w:p>
    <w:p w14:paraId="621EF641" w14:textId="77777777" w:rsidR="00CB4ED4" w:rsidRPr="00ED4758" w:rsidRDefault="00CB4ED4" w:rsidP="00BB34F9">
      <w:pPr>
        <w:autoSpaceDE w:val="0"/>
        <w:autoSpaceDN w:val="0"/>
        <w:adjustRightInd w:val="0"/>
        <w:ind w:firstLine="567"/>
        <w:jc w:val="both"/>
        <w:rPr>
          <w:bCs/>
          <w:i/>
          <w:color w:val="000000"/>
          <w:u w:val="single"/>
          <w:lang w:val="en-GB"/>
        </w:rPr>
      </w:pPr>
    </w:p>
    <w:p w14:paraId="7447D33E" w14:textId="578345F0" w:rsidR="00B45100" w:rsidRPr="00ED4758" w:rsidRDefault="00CB4ED4" w:rsidP="00BB34F9">
      <w:pPr>
        <w:autoSpaceDE w:val="0"/>
        <w:autoSpaceDN w:val="0"/>
        <w:adjustRightInd w:val="0"/>
        <w:ind w:firstLine="567"/>
        <w:jc w:val="both"/>
        <w:rPr>
          <w:bCs/>
          <w:i/>
          <w:color w:val="000000"/>
          <w:u w:val="single"/>
          <w:lang w:val="en-GB"/>
        </w:rPr>
      </w:pPr>
      <w:r w:rsidRPr="00ED4758">
        <w:rPr>
          <w:bCs/>
          <w:i/>
          <w:color w:val="000000"/>
          <w:u w:val="single"/>
          <w:lang w:val="en-GB"/>
        </w:rPr>
        <w:t>Internal audit</w:t>
      </w:r>
    </w:p>
    <w:p w14:paraId="127ECD0B" w14:textId="4487EFDC" w:rsidR="00CB4ED4" w:rsidRPr="00ED4758" w:rsidRDefault="00CB4ED4" w:rsidP="00CB4ED4">
      <w:pPr>
        <w:ind w:firstLine="567"/>
        <w:jc w:val="both"/>
        <w:rPr>
          <w:bCs/>
          <w:color w:val="000000"/>
          <w:lang w:val="en-GB"/>
        </w:rPr>
      </w:pPr>
      <w:r w:rsidRPr="00ED4758">
        <w:rPr>
          <w:bCs/>
          <w:color w:val="000000"/>
          <w:lang w:val="en-GB"/>
        </w:rPr>
        <w:t>According to the Law of Ukraine "On Banks and Banking", the Regulation on the Organi</w:t>
      </w:r>
      <w:r w:rsidR="00193FF7">
        <w:rPr>
          <w:bCs/>
          <w:color w:val="000000"/>
          <w:lang w:val="en-GB"/>
        </w:rPr>
        <w:t>s</w:t>
      </w:r>
      <w:r w:rsidRPr="00ED4758">
        <w:rPr>
          <w:bCs/>
          <w:color w:val="000000"/>
          <w:lang w:val="en-GB"/>
        </w:rPr>
        <w:t xml:space="preserve">ation of Internal Audit in Banks of Ukraine, approved by the resolution of the </w:t>
      </w:r>
      <w:r w:rsidR="00193FF7">
        <w:rPr>
          <w:bCs/>
          <w:color w:val="000000"/>
          <w:lang w:val="en-GB"/>
        </w:rPr>
        <w:t xml:space="preserve">Board of the </w:t>
      </w:r>
      <w:r w:rsidRPr="00ED4758">
        <w:rPr>
          <w:bCs/>
          <w:color w:val="000000"/>
          <w:lang w:val="en-GB"/>
        </w:rPr>
        <w:t>NBU</w:t>
      </w:r>
      <w:r w:rsidR="00193FF7">
        <w:rPr>
          <w:bCs/>
          <w:color w:val="000000"/>
          <w:lang w:val="en-GB"/>
        </w:rPr>
        <w:t xml:space="preserve"> No.</w:t>
      </w:r>
      <w:r w:rsidRPr="00ED4758">
        <w:rPr>
          <w:bCs/>
          <w:color w:val="000000"/>
          <w:lang w:val="en-GB"/>
        </w:rPr>
        <w:t xml:space="preserve">311 of May 10, 2016, the Bank established </w:t>
      </w:r>
      <w:r w:rsidR="00193FF7">
        <w:rPr>
          <w:bCs/>
          <w:color w:val="000000"/>
          <w:lang w:val="en-GB"/>
        </w:rPr>
        <w:t>the</w:t>
      </w:r>
      <w:r w:rsidRPr="00ED4758">
        <w:rPr>
          <w:bCs/>
          <w:color w:val="000000"/>
          <w:lang w:val="en-GB"/>
        </w:rPr>
        <w:t xml:space="preserve"> Internal Audit Service, which is subordinated and accountable to the Supervisory Board of the Bank.</w:t>
      </w:r>
    </w:p>
    <w:p w14:paraId="07C48BC3" w14:textId="09C6E6BB" w:rsidR="00CB4ED4" w:rsidRPr="00ED4758" w:rsidRDefault="00CB4ED4" w:rsidP="00CB4ED4">
      <w:pPr>
        <w:ind w:firstLine="567"/>
        <w:jc w:val="both"/>
        <w:rPr>
          <w:bCs/>
          <w:color w:val="000000"/>
          <w:lang w:val="en-GB"/>
        </w:rPr>
      </w:pPr>
      <w:r w:rsidRPr="00ED4758">
        <w:rPr>
          <w:bCs/>
          <w:color w:val="000000"/>
          <w:lang w:val="en-GB"/>
        </w:rPr>
        <w:t>The appointment of the head of internal audit service was approved by the National Bank of Ukraine. The procedures for the internal audit service planned and approved by the Supervisory Board for 2018 were fully implemented.</w:t>
      </w:r>
    </w:p>
    <w:p w14:paraId="7653CCFB" w14:textId="5D7CEA4E" w:rsidR="009564F4" w:rsidRPr="00ED4758" w:rsidRDefault="00CB4ED4" w:rsidP="00BB34F9">
      <w:pPr>
        <w:ind w:firstLine="567"/>
        <w:jc w:val="both"/>
        <w:rPr>
          <w:lang w:val="en-GB"/>
        </w:rPr>
      </w:pPr>
      <w:r w:rsidRPr="00ED4758">
        <w:rPr>
          <w:lang w:val="en-GB"/>
        </w:rPr>
        <w:t>During 2019, the internal audit service of the Bank functioned as required by Ukrainian law, including the regulations of the National Bank of Ukraine, International Standards and the Internal Audit Code of Ethics set by the Institute of Internal Auditors (IIA) and internal regulations of the Bank. The Internal audit service operated in accordance with the Work Plan approved by the Supervisory Board of the Bank, carried out audits, provided advice, consulting services and clarifications that did not affect its independence and impartiality. The service remained independent of the Bank's operations and management, was accountable and reported to the Audit Committee (since its creation in March 2019) and to the</w:t>
      </w:r>
      <w:r w:rsidR="009564F4" w:rsidRPr="00ED4758">
        <w:rPr>
          <w:lang w:val="en-GB"/>
        </w:rPr>
        <w:t xml:space="preserve"> </w:t>
      </w:r>
      <w:r w:rsidRPr="00ED4758">
        <w:rPr>
          <w:lang w:val="en-GB"/>
        </w:rPr>
        <w:t>Supervisory Board</w:t>
      </w:r>
      <w:r w:rsidR="009564F4" w:rsidRPr="00ED4758">
        <w:rPr>
          <w:lang w:val="en-GB"/>
        </w:rPr>
        <w:t xml:space="preserve"> of the Bank on a quarterly basis</w:t>
      </w:r>
      <w:r w:rsidRPr="00ED4758">
        <w:rPr>
          <w:lang w:val="en-GB"/>
        </w:rPr>
        <w:t xml:space="preserve">, and had a separate budget approved by the </w:t>
      </w:r>
      <w:r w:rsidR="009564F4" w:rsidRPr="00ED4758">
        <w:rPr>
          <w:lang w:val="en-GB"/>
        </w:rPr>
        <w:t>Supervisory Board of the Bank</w:t>
      </w:r>
      <w:r w:rsidRPr="00ED4758">
        <w:rPr>
          <w:lang w:val="en-GB"/>
        </w:rPr>
        <w:t>.</w:t>
      </w:r>
    </w:p>
    <w:p w14:paraId="1B2EF481" w14:textId="04C09579" w:rsidR="009564F4" w:rsidRPr="00ED4758" w:rsidRDefault="009564F4" w:rsidP="009564F4">
      <w:pPr>
        <w:ind w:firstLine="709"/>
        <w:jc w:val="both"/>
        <w:rPr>
          <w:lang w:val="en-GB"/>
        </w:rPr>
      </w:pPr>
      <w:r w:rsidRPr="00ED4758">
        <w:rPr>
          <w:lang w:val="en-GB"/>
        </w:rPr>
        <w:t xml:space="preserve">There were no circumstances and events that would indicate restriction </w:t>
      </w:r>
      <w:r w:rsidR="00193FF7">
        <w:rPr>
          <w:lang w:val="en-GB"/>
        </w:rPr>
        <w:t>of</w:t>
      </w:r>
      <w:r w:rsidRPr="00ED4758">
        <w:rPr>
          <w:lang w:val="en-GB"/>
        </w:rPr>
        <w:t xml:space="preserve"> activi</w:t>
      </w:r>
      <w:r w:rsidR="00193FF7">
        <w:rPr>
          <w:lang w:val="en-GB"/>
        </w:rPr>
        <w:t>ties</w:t>
      </w:r>
      <w:r w:rsidRPr="00ED4758">
        <w:rPr>
          <w:lang w:val="en-GB"/>
        </w:rPr>
        <w:t xml:space="preserve">, independence, loss of impartiality of the internal audit service of the Bank during 2019. The </w:t>
      </w:r>
      <w:r w:rsidR="007B544E">
        <w:rPr>
          <w:lang w:val="en-GB"/>
        </w:rPr>
        <w:t>h</w:t>
      </w:r>
      <w:r w:rsidRPr="00ED4758">
        <w:rPr>
          <w:lang w:val="en-GB"/>
        </w:rPr>
        <w:t>ead of Internal Audit Service informed the Audit Committee and the Supervisory Board of the necessary and available resources of the department and the need to increase them (in particular, the number of staff in the department).</w:t>
      </w:r>
    </w:p>
    <w:p w14:paraId="7366BF4B" w14:textId="200FFA9C" w:rsidR="009564F4" w:rsidRPr="00ED4758" w:rsidRDefault="009564F4" w:rsidP="009564F4">
      <w:pPr>
        <w:ind w:firstLine="709"/>
        <w:jc w:val="both"/>
        <w:rPr>
          <w:lang w:val="en-GB"/>
        </w:rPr>
      </w:pPr>
      <w:r w:rsidRPr="00ED4758">
        <w:rPr>
          <w:lang w:val="en-GB"/>
        </w:rPr>
        <w:t>Based on the activities and audits carried out in 2019, the internal audit service provided the Audit Committee and the Supervisory Board with reports on the results of the audits, conclusions on the functioning of the Bank's internal control system and on the status of implementation of the recommendations resulted from the audits.</w:t>
      </w:r>
    </w:p>
    <w:p w14:paraId="4110851C" w14:textId="1F7C189E" w:rsidR="00F83524" w:rsidRPr="00ED4758" w:rsidRDefault="009564F4" w:rsidP="009564F4">
      <w:pPr>
        <w:ind w:firstLine="709"/>
        <w:rPr>
          <w:lang w:val="en-GB"/>
        </w:rPr>
      </w:pPr>
      <w:r w:rsidRPr="00ED4758">
        <w:rPr>
          <w:lang w:val="en-GB"/>
        </w:rPr>
        <w:t>The head of internal audit service was involved in the selection of the external auditor for the audit of the Bank's financial statements for 2019.</w:t>
      </w:r>
    </w:p>
    <w:p w14:paraId="1CB210B4" w14:textId="77777777" w:rsidR="009564F4" w:rsidRPr="00ED4758" w:rsidRDefault="009564F4" w:rsidP="00BB34F9">
      <w:pPr>
        <w:tabs>
          <w:tab w:val="left" w:pos="0"/>
        </w:tabs>
        <w:ind w:firstLine="567"/>
        <w:jc w:val="both"/>
        <w:rPr>
          <w:i/>
          <w:u w:val="single"/>
          <w:lang w:val="en-GB"/>
        </w:rPr>
      </w:pPr>
    </w:p>
    <w:p w14:paraId="4F053B4B" w14:textId="5E9FC5C9" w:rsidR="009564F4" w:rsidRPr="00ED4758" w:rsidRDefault="009564F4" w:rsidP="009564F4">
      <w:pPr>
        <w:tabs>
          <w:tab w:val="left" w:pos="0"/>
        </w:tabs>
        <w:ind w:firstLine="567"/>
        <w:jc w:val="both"/>
        <w:rPr>
          <w:i/>
          <w:u w:val="single"/>
          <w:lang w:val="en-GB"/>
        </w:rPr>
      </w:pPr>
      <w:r w:rsidRPr="00ED4758">
        <w:rPr>
          <w:i/>
          <w:u w:val="single"/>
          <w:lang w:val="en-GB"/>
        </w:rPr>
        <w:t>External auditor activities</w:t>
      </w:r>
    </w:p>
    <w:p w14:paraId="16C080D8" w14:textId="6ECCFF08" w:rsidR="009564F4" w:rsidRPr="00ED4758" w:rsidRDefault="009564F4" w:rsidP="009564F4">
      <w:pPr>
        <w:tabs>
          <w:tab w:val="left" w:pos="0"/>
        </w:tabs>
        <w:ind w:firstLine="567"/>
        <w:jc w:val="both"/>
        <w:rPr>
          <w:iCs/>
          <w:lang w:val="en-GB"/>
        </w:rPr>
      </w:pPr>
      <w:r w:rsidRPr="00ED4758">
        <w:rPr>
          <w:iCs/>
          <w:lang w:val="en-GB"/>
        </w:rPr>
        <w:t xml:space="preserve">Following the results of </w:t>
      </w:r>
      <w:r w:rsidR="007B544E">
        <w:rPr>
          <w:iCs/>
          <w:lang w:val="en-GB"/>
        </w:rPr>
        <w:t xml:space="preserve">the </w:t>
      </w:r>
      <w:r w:rsidRPr="00ED4758">
        <w:rPr>
          <w:iCs/>
          <w:lang w:val="en-GB"/>
        </w:rPr>
        <w:t xml:space="preserve">tender for an audit company held in September 2019, the Supervisory Board, by its decision as of 26.09.19 (Minutes of the meeting of the Supervisory Board No.15), selected </w:t>
      </w:r>
      <w:r w:rsidR="007B544E">
        <w:rPr>
          <w:iCs/>
          <w:lang w:val="en-GB"/>
        </w:rPr>
        <w:t xml:space="preserve">LLC </w:t>
      </w:r>
      <w:r w:rsidRPr="00ED4758">
        <w:rPr>
          <w:iCs/>
          <w:lang w:val="en-GB"/>
        </w:rPr>
        <w:t>“RSM Ukraine” to audit the Bank's financial statements for 2019.</w:t>
      </w:r>
    </w:p>
    <w:p w14:paraId="721B94B7" w14:textId="00F0A3E6" w:rsidR="009564F4" w:rsidRPr="00ED4758" w:rsidRDefault="009564F4" w:rsidP="009564F4">
      <w:pPr>
        <w:tabs>
          <w:tab w:val="left" w:pos="0"/>
        </w:tabs>
        <w:ind w:firstLine="567"/>
        <w:jc w:val="both"/>
        <w:rPr>
          <w:iCs/>
          <w:lang w:val="en-GB"/>
        </w:rPr>
      </w:pPr>
      <w:r w:rsidRPr="00ED4758">
        <w:rPr>
          <w:iCs/>
          <w:lang w:val="en-GB"/>
        </w:rPr>
        <w:t xml:space="preserve">The overall audit experience of the external auditor </w:t>
      </w:r>
      <w:r w:rsidR="007B544E">
        <w:rPr>
          <w:iCs/>
          <w:lang w:val="en-GB"/>
        </w:rPr>
        <w:t>made</w:t>
      </w:r>
      <w:r w:rsidRPr="00ED4758">
        <w:rPr>
          <w:iCs/>
          <w:lang w:val="en-GB"/>
        </w:rPr>
        <w:t xml:space="preserve"> 24 years at the time of </w:t>
      </w:r>
      <w:r w:rsidR="007B544E">
        <w:rPr>
          <w:iCs/>
          <w:lang w:val="en-GB"/>
        </w:rPr>
        <w:t>the selection</w:t>
      </w:r>
      <w:r w:rsidRPr="00ED4758">
        <w:rPr>
          <w:iCs/>
          <w:lang w:val="en-GB"/>
        </w:rPr>
        <w:t xml:space="preserve">. LLC “RSM Ukraine” will provide audit services to the Bank for the first time. During 2019, the audit firm </w:t>
      </w:r>
      <w:r w:rsidR="007B544E">
        <w:rPr>
          <w:iCs/>
          <w:lang w:val="en-GB"/>
        </w:rPr>
        <w:t>did</w:t>
      </w:r>
      <w:r w:rsidRPr="00ED4758">
        <w:rPr>
          <w:iCs/>
          <w:lang w:val="en-GB"/>
        </w:rPr>
        <w:t xml:space="preserve"> not provide any audit services to the Bank. No cases of conflict of interest and/or </w:t>
      </w:r>
      <w:r w:rsidR="003304F3" w:rsidRPr="00ED4758">
        <w:rPr>
          <w:iCs/>
          <w:lang w:val="en-GB"/>
        </w:rPr>
        <w:t xml:space="preserve">overlap with </w:t>
      </w:r>
      <w:r w:rsidRPr="00ED4758">
        <w:rPr>
          <w:iCs/>
          <w:lang w:val="en-GB"/>
        </w:rPr>
        <w:t>the internal auditor's functions were identified. Previously,</w:t>
      </w:r>
      <w:r w:rsidR="003304F3" w:rsidRPr="00ED4758">
        <w:rPr>
          <w:iCs/>
          <w:lang w:val="en-GB"/>
        </w:rPr>
        <w:t xml:space="preserve"> LLC “</w:t>
      </w:r>
      <w:r w:rsidRPr="00ED4758">
        <w:rPr>
          <w:iCs/>
          <w:lang w:val="en-GB"/>
        </w:rPr>
        <w:t>RSM Ukraine</w:t>
      </w:r>
      <w:r w:rsidR="003304F3" w:rsidRPr="00ED4758">
        <w:rPr>
          <w:iCs/>
          <w:lang w:val="en-GB"/>
        </w:rPr>
        <w:t>”</w:t>
      </w:r>
      <w:r w:rsidRPr="00ED4758">
        <w:rPr>
          <w:iCs/>
          <w:lang w:val="en-GB"/>
        </w:rPr>
        <w:t xml:space="preserve"> </w:t>
      </w:r>
      <w:r w:rsidR="003304F3" w:rsidRPr="00ED4758">
        <w:rPr>
          <w:iCs/>
          <w:lang w:val="en-GB"/>
        </w:rPr>
        <w:t xml:space="preserve">had not </w:t>
      </w:r>
      <w:r w:rsidRPr="00ED4758">
        <w:rPr>
          <w:iCs/>
          <w:lang w:val="en-GB"/>
        </w:rPr>
        <w:t xml:space="preserve">provided </w:t>
      </w:r>
      <w:r w:rsidR="003304F3" w:rsidRPr="00ED4758">
        <w:rPr>
          <w:iCs/>
          <w:lang w:val="en-GB"/>
        </w:rPr>
        <w:t xml:space="preserve">its services </w:t>
      </w:r>
      <w:r w:rsidRPr="00ED4758">
        <w:rPr>
          <w:iCs/>
          <w:lang w:val="en-GB"/>
        </w:rPr>
        <w:t xml:space="preserve">to the Bank, so there </w:t>
      </w:r>
      <w:r w:rsidR="007B544E" w:rsidRPr="00ED4758">
        <w:rPr>
          <w:iCs/>
          <w:lang w:val="en-GB"/>
        </w:rPr>
        <w:t>is</w:t>
      </w:r>
      <w:r w:rsidRPr="00ED4758">
        <w:rPr>
          <w:iCs/>
          <w:lang w:val="en-GB"/>
        </w:rPr>
        <w:t xml:space="preserve"> no non-compliance with the auditors' rotation requirements.</w:t>
      </w:r>
    </w:p>
    <w:p w14:paraId="5433DB5A" w14:textId="51370808" w:rsidR="00B45100" w:rsidRPr="00ED4758" w:rsidRDefault="009564F4" w:rsidP="009564F4">
      <w:pPr>
        <w:tabs>
          <w:tab w:val="left" w:pos="0"/>
        </w:tabs>
        <w:ind w:firstLine="567"/>
        <w:jc w:val="both"/>
        <w:rPr>
          <w:iCs/>
          <w:highlight w:val="yellow"/>
          <w:lang w:val="en-GB"/>
        </w:rPr>
      </w:pPr>
      <w:r w:rsidRPr="00ED4758">
        <w:rPr>
          <w:iCs/>
          <w:lang w:val="en-GB"/>
        </w:rPr>
        <w:t xml:space="preserve">There are no </w:t>
      </w:r>
      <w:r w:rsidR="003304F3" w:rsidRPr="00ED4758">
        <w:rPr>
          <w:iCs/>
          <w:lang w:val="en-GB"/>
        </w:rPr>
        <w:t>sanctions</w:t>
      </w:r>
      <w:r w:rsidRPr="00ED4758">
        <w:rPr>
          <w:iCs/>
          <w:lang w:val="en-GB"/>
        </w:rPr>
        <w:t xml:space="preserve"> applied to the </w:t>
      </w:r>
      <w:r w:rsidR="003304F3" w:rsidRPr="00ED4758">
        <w:rPr>
          <w:iCs/>
          <w:lang w:val="en-GB"/>
        </w:rPr>
        <w:t>a</w:t>
      </w:r>
      <w:r w:rsidRPr="00ED4758">
        <w:rPr>
          <w:iCs/>
          <w:lang w:val="en-GB"/>
        </w:rPr>
        <w:t xml:space="preserve">uditor by the Audit Chamber of Ukraine </w:t>
      </w:r>
      <w:r w:rsidR="007B544E">
        <w:rPr>
          <w:iCs/>
          <w:lang w:val="en-GB"/>
        </w:rPr>
        <w:t>in</w:t>
      </w:r>
      <w:r w:rsidRPr="00ED4758">
        <w:rPr>
          <w:iCs/>
          <w:lang w:val="en-GB"/>
        </w:rPr>
        <w:t xml:space="preserve"> 2019, as well as </w:t>
      </w:r>
      <w:r w:rsidR="003304F3" w:rsidRPr="00ED4758">
        <w:rPr>
          <w:iCs/>
          <w:lang w:val="en-GB"/>
        </w:rPr>
        <w:t xml:space="preserve">there are no </w:t>
      </w:r>
      <w:r w:rsidRPr="00ED4758">
        <w:rPr>
          <w:iCs/>
          <w:lang w:val="en-GB"/>
        </w:rPr>
        <w:t xml:space="preserve">facts of submitting false reports </w:t>
      </w:r>
      <w:r w:rsidR="007B544E">
        <w:rPr>
          <w:iCs/>
          <w:lang w:val="en-GB"/>
        </w:rPr>
        <w:t>of</w:t>
      </w:r>
      <w:r w:rsidRPr="00ED4758">
        <w:rPr>
          <w:iCs/>
          <w:lang w:val="en-GB"/>
        </w:rPr>
        <w:t xml:space="preserve"> the Bank confirmed by the audit</w:t>
      </w:r>
      <w:r w:rsidR="007B544E">
        <w:rPr>
          <w:iCs/>
          <w:lang w:val="en-GB"/>
        </w:rPr>
        <w:t>or’s</w:t>
      </w:r>
      <w:r w:rsidRPr="00ED4758">
        <w:rPr>
          <w:iCs/>
          <w:lang w:val="en-GB"/>
        </w:rPr>
        <w:t xml:space="preserve"> </w:t>
      </w:r>
      <w:r w:rsidR="007B544E">
        <w:rPr>
          <w:iCs/>
          <w:lang w:val="en-GB"/>
        </w:rPr>
        <w:t>report</w:t>
      </w:r>
      <w:r w:rsidR="003304F3" w:rsidRPr="00ED4758">
        <w:rPr>
          <w:iCs/>
          <w:lang w:val="en-GB"/>
        </w:rPr>
        <w:t>, which were revealed</w:t>
      </w:r>
      <w:r w:rsidRPr="00ED4758">
        <w:rPr>
          <w:iCs/>
          <w:lang w:val="en-GB"/>
        </w:rPr>
        <w:t xml:space="preserve"> by the authorities that regulate the financial services markets.</w:t>
      </w:r>
    </w:p>
    <w:p w14:paraId="7355B1F9" w14:textId="77777777" w:rsidR="003304F3" w:rsidRPr="00ED4758" w:rsidRDefault="003304F3" w:rsidP="00BB34F9">
      <w:pPr>
        <w:tabs>
          <w:tab w:val="left" w:pos="0"/>
        </w:tabs>
        <w:ind w:firstLine="567"/>
        <w:jc w:val="both"/>
        <w:rPr>
          <w:iCs/>
          <w:lang w:val="en-GB"/>
        </w:rPr>
      </w:pPr>
    </w:p>
    <w:p w14:paraId="7DF6F942" w14:textId="77777777" w:rsidR="003304F3" w:rsidRPr="00ED4758" w:rsidRDefault="003304F3" w:rsidP="003304F3">
      <w:pPr>
        <w:ind w:firstLine="567"/>
        <w:jc w:val="both"/>
        <w:rPr>
          <w:i/>
          <w:u w:val="single"/>
          <w:lang w:val="en-GB"/>
        </w:rPr>
      </w:pPr>
      <w:r w:rsidRPr="00ED4758">
        <w:rPr>
          <w:i/>
          <w:u w:val="single"/>
          <w:lang w:val="en-GB"/>
        </w:rPr>
        <w:t>Related party transactions</w:t>
      </w:r>
    </w:p>
    <w:p w14:paraId="06C54C4C" w14:textId="40F7760D" w:rsidR="003304F3" w:rsidRPr="00ED4758" w:rsidRDefault="003304F3" w:rsidP="003304F3">
      <w:pPr>
        <w:ind w:firstLine="567"/>
        <w:jc w:val="both"/>
        <w:rPr>
          <w:iCs/>
          <w:lang w:val="en-GB"/>
        </w:rPr>
      </w:pPr>
      <w:r w:rsidRPr="00ED4758">
        <w:rPr>
          <w:iCs/>
          <w:lang w:val="en-GB"/>
        </w:rPr>
        <w:t>The procedures of the Bank for recogni</w:t>
      </w:r>
      <w:r w:rsidR="007B544E">
        <w:rPr>
          <w:iCs/>
          <w:lang w:val="en-GB"/>
        </w:rPr>
        <w:t>s</w:t>
      </w:r>
      <w:r w:rsidRPr="00ED4758">
        <w:rPr>
          <w:iCs/>
          <w:lang w:val="en-GB"/>
        </w:rPr>
        <w:t xml:space="preserve">ing persons </w:t>
      </w:r>
      <w:r w:rsidR="007B544E">
        <w:rPr>
          <w:iCs/>
          <w:lang w:val="en-GB"/>
        </w:rPr>
        <w:t xml:space="preserve">as </w:t>
      </w:r>
      <w:r w:rsidRPr="00ED4758">
        <w:rPr>
          <w:iCs/>
          <w:lang w:val="en-GB"/>
        </w:rPr>
        <w:t>related to the Bank and conducting transactions with them are based on the requirements of the Law of Ukraine “On Banks and Banking Activities”, the Instruction on the Procedure for Regulation of Bank</w:t>
      </w:r>
      <w:r w:rsidR="007B544E">
        <w:rPr>
          <w:iCs/>
          <w:lang w:val="en-GB"/>
        </w:rPr>
        <w:t xml:space="preserve">ing </w:t>
      </w:r>
      <w:r w:rsidR="007A536C">
        <w:rPr>
          <w:iCs/>
          <w:lang w:val="en-GB"/>
        </w:rPr>
        <w:t>A</w:t>
      </w:r>
      <w:r w:rsidR="007B544E">
        <w:rPr>
          <w:iCs/>
          <w:lang w:val="en-GB"/>
        </w:rPr>
        <w:t>ctivities</w:t>
      </w:r>
      <w:r w:rsidRPr="00ED4758">
        <w:rPr>
          <w:iCs/>
          <w:lang w:val="en-GB"/>
        </w:rPr>
        <w:t xml:space="preserve"> in Ukraine (approved by the resolution of the Board of the National Bank of Ukraine No. 368 dated August 28, 2001</w:t>
      </w:r>
      <w:r w:rsidR="007B544E">
        <w:rPr>
          <w:iCs/>
          <w:lang w:val="en-GB"/>
        </w:rPr>
        <w:t>,</w:t>
      </w:r>
      <w:r w:rsidRPr="00ED4758">
        <w:rPr>
          <w:iCs/>
          <w:lang w:val="en-GB"/>
        </w:rPr>
        <w:t xml:space="preserve"> as amended), the Regulation on the definition of persons related to the bank, (approved by the resolution of the Board of the National Bank of Ukraine No. 315 dated May 12, 2015), other legal acts of the National Bank of Ukraine.</w:t>
      </w:r>
    </w:p>
    <w:p w14:paraId="362768E0" w14:textId="77777777" w:rsidR="003304F3" w:rsidRPr="00ED4758" w:rsidRDefault="003304F3" w:rsidP="003304F3">
      <w:pPr>
        <w:ind w:firstLine="567"/>
        <w:jc w:val="both"/>
        <w:rPr>
          <w:iCs/>
          <w:lang w:val="en-GB"/>
        </w:rPr>
      </w:pPr>
      <w:r w:rsidRPr="00ED4758">
        <w:rPr>
          <w:iCs/>
          <w:lang w:val="en-GB"/>
        </w:rPr>
        <w:t>During the reporting year, the Bank performed insignificant transactions with related parties.</w:t>
      </w:r>
    </w:p>
    <w:p w14:paraId="4FC5F8D8" w14:textId="35F2D796" w:rsidR="00B45100" w:rsidRPr="00ED4758" w:rsidRDefault="003304F3" w:rsidP="003304F3">
      <w:pPr>
        <w:ind w:firstLine="567"/>
        <w:jc w:val="both"/>
        <w:rPr>
          <w:lang w:val="en-GB"/>
        </w:rPr>
      </w:pPr>
      <w:r w:rsidRPr="00ED4758">
        <w:rPr>
          <w:lang w:val="en-GB"/>
        </w:rPr>
        <w:t>Balances on transactions with related parties as of December 31, 2019, UAH</w:t>
      </w:r>
      <w:r w:rsidR="007B544E" w:rsidRPr="007B544E">
        <w:rPr>
          <w:lang w:val="en-GB"/>
        </w:rPr>
        <w:t xml:space="preserve"> </w:t>
      </w:r>
      <w:r w:rsidR="007B544E" w:rsidRPr="00ED4758">
        <w:rPr>
          <w:lang w:val="en-GB"/>
        </w:rPr>
        <w:t>thousand</w:t>
      </w:r>
      <w:r w:rsidRPr="00ED4758">
        <w:rPr>
          <w:lang w:val="en-GB"/>
        </w:rPr>
        <w:t>.</w:t>
      </w:r>
    </w:p>
    <w:tbl>
      <w:tblPr>
        <w:tblStyle w:val="TableGrid"/>
        <w:tblW w:w="90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1418"/>
        <w:gridCol w:w="1710"/>
        <w:gridCol w:w="983"/>
      </w:tblGrid>
      <w:tr w:rsidR="003304F3" w:rsidRPr="00ED4758" w14:paraId="60443D08" w14:textId="77777777" w:rsidTr="0014424C">
        <w:tc>
          <w:tcPr>
            <w:tcW w:w="4962" w:type="dxa"/>
            <w:tcBorders>
              <w:top w:val="single" w:sz="4" w:space="0" w:color="auto"/>
              <w:bottom w:val="single" w:sz="4" w:space="0" w:color="auto"/>
            </w:tcBorders>
          </w:tcPr>
          <w:p w14:paraId="78E84930" w14:textId="620D3D0B" w:rsidR="003304F3" w:rsidRPr="00ED4758" w:rsidRDefault="007B544E" w:rsidP="003304F3">
            <w:pPr>
              <w:rPr>
                <w:sz w:val="22"/>
                <w:szCs w:val="22"/>
                <w:lang w:val="en-GB"/>
              </w:rPr>
            </w:pPr>
            <w:r>
              <w:rPr>
                <w:i/>
                <w:sz w:val="20"/>
                <w:szCs w:val="20"/>
                <w:lang w:val="en-GB"/>
              </w:rPr>
              <w:t>in UAH thousand</w:t>
            </w:r>
          </w:p>
        </w:tc>
        <w:tc>
          <w:tcPr>
            <w:tcW w:w="1418" w:type="dxa"/>
            <w:tcBorders>
              <w:top w:val="single" w:sz="4" w:space="0" w:color="auto"/>
              <w:bottom w:val="single" w:sz="4" w:space="0" w:color="auto"/>
            </w:tcBorders>
          </w:tcPr>
          <w:p w14:paraId="024CA4A9" w14:textId="78C003B7" w:rsidR="003304F3" w:rsidRPr="00ED4758" w:rsidRDefault="003304F3" w:rsidP="003304F3">
            <w:pPr>
              <w:jc w:val="center"/>
              <w:rPr>
                <w:b/>
                <w:bCs/>
                <w:sz w:val="22"/>
                <w:szCs w:val="22"/>
                <w:lang w:val="en-GB"/>
              </w:rPr>
            </w:pPr>
            <w:r w:rsidRPr="00ED4758">
              <w:rPr>
                <w:b/>
                <w:bCs/>
                <w:sz w:val="22"/>
                <w:szCs w:val="22"/>
                <w:lang w:val="en-GB"/>
              </w:rPr>
              <w:t>Majority stakeholders (shareholders)</w:t>
            </w:r>
          </w:p>
        </w:tc>
        <w:tc>
          <w:tcPr>
            <w:tcW w:w="1710" w:type="dxa"/>
            <w:tcBorders>
              <w:top w:val="single" w:sz="4" w:space="0" w:color="auto"/>
              <w:bottom w:val="single" w:sz="4" w:space="0" w:color="auto"/>
            </w:tcBorders>
          </w:tcPr>
          <w:p w14:paraId="5155A25D" w14:textId="4492FC72" w:rsidR="003304F3" w:rsidRPr="00ED4758" w:rsidRDefault="003304F3" w:rsidP="003304F3">
            <w:pPr>
              <w:jc w:val="center"/>
              <w:rPr>
                <w:b/>
                <w:bCs/>
                <w:sz w:val="22"/>
                <w:szCs w:val="22"/>
                <w:lang w:val="en-GB"/>
              </w:rPr>
            </w:pPr>
            <w:r w:rsidRPr="00ED4758">
              <w:rPr>
                <w:b/>
                <w:bCs/>
                <w:sz w:val="22"/>
                <w:szCs w:val="22"/>
                <w:lang w:val="en-GB"/>
              </w:rPr>
              <w:t>Key management</w:t>
            </w:r>
          </w:p>
        </w:tc>
        <w:tc>
          <w:tcPr>
            <w:tcW w:w="983" w:type="dxa"/>
            <w:tcBorders>
              <w:top w:val="single" w:sz="4" w:space="0" w:color="auto"/>
              <w:bottom w:val="single" w:sz="4" w:space="0" w:color="auto"/>
            </w:tcBorders>
          </w:tcPr>
          <w:p w14:paraId="5D42A1C0" w14:textId="452686D2" w:rsidR="003304F3" w:rsidRPr="00ED4758" w:rsidRDefault="003304F3" w:rsidP="003304F3">
            <w:pPr>
              <w:ind w:left="-117" w:right="-108"/>
              <w:jc w:val="center"/>
              <w:rPr>
                <w:b/>
                <w:bCs/>
                <w:sz w:val="22"/>
                <w:szCs w:val="22"/>
                <w:lang w:val="en-GB"/>
              </w:rPr>
            </w:pPr>
            <w:r w:rsidRPr="00ED4758">
              <w:rPr>
                <w:b/>
                <w:bCs/>
                <w:sz w:val="22"/>
                <w:szCs w:val="22"/>
                <w:lang w:val="en-GB"/>
              </w:rPr>
              <w:t>Other related parties</w:t>
            </w:r>
          </w:p>
        </w:tc>
      </w:tr>
      <w:tr w:rsidR="003304F3" w:rsidRPr="00ED4758" w14:paraId="3C0286CA" w14:textId="77777777" w:rsidTr="0014424C">
        <w:tc>
          <w:tcPr>
            <w:tcW w:w="4962" w:type="dxa"/>
            <w:tcBorders>
              <w:top w:val="single" w:sz="4" w:space="0" w:color="auto"/>
            </w:tcBorders>
          </w:tcPr>
          <w:p w14:paraId="34E64688" w14:textId="63394531" w:rsidR="003304F3" w:rsidRPr="00ED4758" w:rsidRDefault="003304F3" w:rsidP="003304F3">
            <w:pPr>
              <w:rPr>
                <w:sz w:val="22"/>
                <w:szCs w:val="22"/>
                <w:lang w:val="en-GB"/>
              </w:rPr>
            </w:pPr>
            <w:r w:rsidRPr="00ED4758">
              <w:rPr>
                <w:sz w:val="22"/>
                <w:szCs w:val="22"/>
                <w:lang w:val="en-GB"/>
              </w:rPr>
              <w:t>Correspondent accounts in other banks (0.0% interest rate)</w:t>
            </w:r>
          </w:p>
        </w:tc>
        <w:tc>
          <w:tcPr>
            <w:tcW w:w="1418" w:type="dxa"/>
            <w:tcBorders>
              <w:top w:val="single" w:sz="4" w:space="0" w:color="auto"/>
            </w:tcBorders>
          </w:tcPr>
          <w:p w14:paraId="012C9518" w14:textId="77777777" w:rsidR="003304F3" w:rsidRPr="00ED4758" w:rsidRDefault="003304F3" w:rsidP="003304F3">
            <w:pPr>
              <w:jc w:val="right"/>
              <w:rPr>
                <w:sz w:val="22"/>
                <w:szCs w:val="22"/>
                <w:lang w:val="en-GB"/>
              </w:rPr>
            </w:pPr>
            <w:r w:rsidRPr="00ED4758">
              <w:rPr>
                <w:sz w:val="22"/>
                <w:szCs w:val="22"/>
                <w:lang w:val="en-GB"/>
              </w:rPr>
              <w:t>-</w:t>
            </w:r>
          </w:p>
        </w:tc>
        <w:tc>
          <w:tcPr>
            <w:tcW w:w="1710" w:type="dxa"/>
            <w:tcBorders>
              <w:top w:val="single" w:sz="4" w:space="0" w:color="auto"/>
            </w:tcBorders>
          </w:tcPr>
          <w:p w14:paraId="26606A59" w14:textId="77777777" w:rsidR="003304F3" w:rsidRPr="00ED4758" w:rsidRDefault="003304F3" w:rsidP="003304F3">
            <w:pPr>
              <w:jc w:val="right"/>
              <w:rPr>
                <w:sz w:val="22"/>
                <w:szCs w:val="22"/>
                <w:lang w:val="en-GB"/>
              </w:rPr>
            </w:pPr>
            <w:r w:rsidRPr="00ED4758">
              <w:rPr>
                <w:sz w:val="22"/>
                <w:szCs w:val="22"/>
                <w:lang w:val="en-GB"/>
              </w:rPr>
              <w:t>-</w:t>
            </w:r>
          </w:p>
        </w:tc>
        <w:tc>
          <w:tcPr>
            <w:tcW w:w="983" w:type="dxa"/>
            <w:tcBorders>
              <w:top w:val="single" w:sz="4" w:space="0" w:color="auto"/>
            </w:tcBorders>
          </w:tcPr>
          <w:p w14:paraId="5BDCADC0" w14:textId="77777777" w:rsidR="003304F3" w:rsidRPr="00ED4758" w:rsidRDefault="003304F3" w:rsidP="003304F3">
            <w:pPr>
              <w:jc w:val="right"/>
              <w:rPr>
                <w:sz w:val="22"/>
                <w:szCs w:val="22"/>
                <w:lang w:val="en-GB"/>
              </w:rPr>
            </w:pPr>
            <w:r w:rsidRPr="00ED4758">
              <w:rPr>
                <w:sz w:val="22"/>
                <w:szCs w:val="22"/>
                <w:lang w:val="en-GB"/>
              </w:rPr>
              <w:t>466</w:t>
            </w:r>
          </w:p>
        </w:tc>
      </w:tr>
      <w:tr w:rsidR="003304F3" w:rsidRPr="00ED4758" w14:paraId="24D96F41" w14:textId="77777777" w:rsidTr="0014424C">
        <w:tc>
          <w:tcPr>
            <w:tcW w:w="4962" w:type="dxa"/>
          </w:tcPr>
          <w:p w14:paraId="47F9C20F" w14:textId="20B29536" w:rsidR="003304F3" w:rsidRPr="00ED4758" w:rsidRDefault="003304F3" w:rsidP="003304F3">
            <w:pPr>
              <w:rPr>
                <w:sz w:val="22"/>
                <w:szCs w:val="22"/>
                <w:lang w:val="en-GB"/>
              </w:rPr>
            </w:pPr>
            <w:r w:rsidRPr="00ED4758">
              <w:rPr>
                <w:sz w:val="22"/>
                <w:szCs w:val="22"/>
                <w:lang w:val="en-GB"/>
              </w:rPr>
              <w:t>Clients’ money (0.0% interest rate)</w:t>
            </w:r>
          </w:p>
        </w:tc>
        <w:tc>
          <w:tcPr>
            <w:tcW w:w="1418" w:type="dxa"/>
          </w:tcPr>
          <w:p w14:paraId="539688A6" w14:textId="0A7FA26F" w:rsidR="003304F3" w:rsidRPr="00ED4758" w:rsidRDefault="003304F3" w:rsidP="003304F3">
            <w:pPr>
              <w:jc w:val="right"/>
              <w:rPr>
                <w:sz w:val="22"/>
                <w:szCs w:val="22"/>
                <w:lang w:val="en-GB"/>
              </w:rPr>
            </w:pPr>
            <w:r w:rsidRPr="00ED4758">
              <w:rPr>
                <w:sz w:val="22"/>
                <w:szCs w:val="22"/>
                <w:lang w:val="en-GB"/>
              </w:rPr>
              <w:t>8,992</w:t>
            </w:r>
          </w:p>
        </w:tc>
        <w:tc>
          <w:tcPr>
            <w:tcW w:w="1710" w:type="dxa"/>
          </w:tcPr>
          <w:p w14:paraId="510521EB" w14:textId="77777777" w:rsidR="003304F3" w:rsidRPr="00ED4758" w:rsidRDefault="003304F3" w:rsidP="003304F3">
            <w:pPr>
              <w:jc w:val="right"/>
              <w:rPr>
                <w:sz w:val="22"/>
                <w:szCs w:val="22"/>
                <w:lang w:val="en-GB"/>
              </w:rPr>
            </w:pPr>
            <w:r w:rsidRPr="00ED4758">
              <w:rPr>
                <w:sz w:val="22"/>
                <w:szCs w:val="22"/>
                <w:lang w:val="en-GB"/>
              </w:rPr>
              <w:t>142</w:t>
            </w:r>
          </w:p>
        </w:tc>
        <w:tc>
          <w:tcPr>
            <w:tcW w:w="983" w:type="dxa"/>
          </w:tcPr>
          <w:p w14:paraId="4CF31780" w14:textId="77777777" w:rsidR="003304F3" w:rsidRPr="00ED4758" w:rsidRDefault="003304F3" w:rsidP="003304F3">
            <w:pPr>
              <w:jc w:val="right"/>
              <w:rPr>
                <w:sz w:val="22"/>
                <w:szCs w:val="22"/>
                <w:lang w:val="en-GB"/>
              </w:rPr>
            </w:pPr>
            <w:r w:rsidRPr="00ED4758">
              <w:rPr>
                <w:sz w:val="22"/>
                <w:szCs w:val="22"/>
                <w:lang w:val="en-GB"/>
              </w:rPr>
              <w:t>-</w:t>
            </w:r>
          </w:p>
        </w:tc>
      </w:tr>
      <w:tr w:rsidR="003304F3" w:rsidRPr="00ED4758" w14:paraId="33365EAC" w14:textId="77777777" w:rsidTr="0014424C">
        <w:tc>
          <w:tcPr>
            <w:tcW w:w="4962" w:type="dxa"/>
            <w:tcBorders>
              <w:bottom w:val="single" w:sz="4" w:space="0" w:color="auto"/>
            </w:tcBorders>
          </w:tcPr>
          <w:p w14:paraId="448DDDB7" w14:textId="3B19F6CD" w:rsidR="003304F3" w:rsidRPr="00ED4758" w:rsidRDefault="003304F3" w:rsidP="003304F3">
            <w:pPr>
              <w:rPr>
                <w:sz w:val="22"/>
                <w:szCs w:val="22"/>
                <w:lang w:val="en-GB"/>
              </w:rPr>
            </w:pPr>
            <w:r w:rsidRPr="00ED4758">
              <w:rPr>
                <w:sz w:val="22"/>
                <w:szCs w:val="22"/>
                <w:lang w:val="en-GB"/>
              </w:rPr>
              <w:t>Subordinated debt (0.0% interest rate)</w:t>
            </w:r>
          </w:p>
        </w:tc>
        <w:tc>
          <w:tcPr>
            <w:tcW w:w="1418" w:type="dxa"/>
            <w:tcBorders>
              <w:bottom w:val="single" w:sz="4" w:space="0" w:color="auto"/>
            </w:tcBorders>
          </w:tcPr>
          <w:p w14:paraId="117F8BCD" w14:textId="2430B4F1" w:rsidR="003304F3" w:rsidRPr="00ED4758" w:rsidRDefault="003304F3" w:rsidP="003304F3">
            <w:pPr>
              <w:jc w:val="right"/>
              <w:rPr>
                <w:sz w:val="22"/>
                <w:szCs w:val="22"/>
                <w:lang w:val="en-GB"/>
              </w:rPr>
            </w:pPr>
            <w:r w:rsidRPr="00ED4758">
              <w:rPr>
                <w:sz w:val="22"/>
                <w:szCs w:val="22"/>
                <w:lang w:val="en-GB"/>
              </w:rPr>
              <w:t>11,900</w:t>
            </w:r>
          </w:p>
        </w:tc>
        <w:tc>
          <w:tcPr>
            <w:tcW w:w="1710" w:type="dxa"/>
            <w:tcBorders>
              <w:bottom w:val="single" w:sz="4" w:space="0" w:color="auto"/>
            </w:tcBorders>
          </w:tcPr>
          <w:p w14:paraId="6522F48A" w14:textId="77777777" w:rsidR="003304F3" w:rsidRPr="00ED4758" w:rsidRDefault="003304F3" w:rsidP="003304F3">
            <w:pPr>
              <w:jc w:val="right"/>
              <w:rPr>
                <w:sz w:val="22"/>
                <w:szCs w:val="22"/>
                <w:lang w:val="en-GB"/>
              </w:rPr>
            </w:pPr>
            <w:r w:rsidRPr="00ED4758">
              <w:rPr>
                <w:sz w:val="22"/>
                <w:szCs w:val="22"/>
                <w:lang w:val="en-GB"/>
              </w:rPr>
              <w:t>-</w:t>
            </w:r>
          </w:p>
        </w:tc>
        <w:tc>
          <w:tcPr>
            <w:tcW w:w="983" w:type="dxa"/>
            <w:tcBorders>
              <w:bottom w:val="single" w:sz="4" w:space="0" w:color="auto"/>
            </w:tcBorders>
          </w:tcPr>
          <w:p w14:paraId="090C2D66" w14:textId="77777777" w:rsidR="003304F3" w:rsidRPr="00ED4758" w:rsidRDefault="003304F3" w:rsidP="003304F3">
            <w:pPr>
              <w:jc w:val="right"/>
              <w:rPr>
                <w:sz w:val="22"/>
                <w:szCs w:val="22"/>
                <w:lang w:val="en-GB"/>
              </w:rPr>
            </w:pPr>
            <w:r w:rsidRPr="00ED4758">
              <w:rPr>
                <w:sz w:val="22"/>
                <w:szCs w:val="22"/>
                <w:lang w:val="en-GB"/>
              </w:rPr>
              <w:t>-</w:t>
            </w:r>
          </w:p>
        </w:tc>
      </w:tr>
    </w:tbl>
    <w:p w14:paraId="47DAC44D" w14:textId="77777777" w:rsidR="00B45100" w:rsidRPr="00ED4758" w:rsidRDefault="00B45100" w:rsidP="00BB34F9">
      <w:pPr>
        <w:autoSpaceDE w:val="0"/>
        <w:autoSpaceDN w:val="0"/>
        <w:adjustRightInd w:val="0"/>
        <w:ind w:firstLine="567"/>
        <w:jc w:val="both"/>
        <w:rPr>
          <w:bCs/>
          <w:color w:val="000000"/>
          <w:highlight w:val="yellow"/>
          <w:lang w:val="en-GB"/>
        </w:rPr>
      </w:pPr>
    </w:p>
    <w:p w14:paraId="3A855FFF" w14:textId="52194E73" w:rsidR="009339C8" w:rsidRPr="00ED4758" w:rsidRDefault="003304F3" w:rsidP="00BB34F9">
      <w:pPr>
        <w:ind w:firstLine="567"/>
        <w:jc w:val="both"/>
        <w:rPr>
          <w:highlight w:val="yellow"/>
          <w:lang w:val="en-GB"/>
        </w:rPr>
      </w:pPr>
      <w:r w:rsidRPr="00ED4758">
        <w:rPr>
          <w:lang w:val="en-GB"/>
        </w:rPr>
        <w:t>Income and expenses from transactions with related parties as of December 31, 2019, UAH</w:t>
      </w:r>
      <w:r w:rsidR="007B544E">
        <w:rPr>
          <w:lang w:val="en-GB"/>
        </w:rPr>
        <w:t xml:space="preserve"> thousand</w:t>
      </w:r>
      <w:r w:rsidRPr="00ED4758">
        <w:rPr>
          <w:lang w:val="en-GB"/>
        </w:rPr>
        <w:t>.</w:t>
      </w:r>
      <w:r w:rsidR="007B544E">
        <w:rPr>
          <w:lang w:val="en-GB"/>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444"/>
        <w:gridCol w:w="2410"/>
        <w:gridCol w:w="1559"/>
      </w:tblGrid>
      <w:tr w:rsidR="003304F3" w:rsidRPr="00ED4758" w14:paraId="4BEED24A" w14:textId="77777777" w:rsidTr="00EF31EE">
        <w:tc>
          <w:tcPr>
            <w:tcW w:w="2943" w:type="dxa"/>
            <w:tcBorders>
              <w:top w:val="single" w:sz="4" w:space="0" w:color="auto"/>
              <w:bottom w:val="single" w:sz="4" w:space="0" w:color="auto"/>
            </w:tcBorders>
          </w:tcPr>
          <w:p w14:paraId="29C07DC0" w14:textId="2EFC1EDE" w:rsidR="003304F3" w:rsidRPr="00ED4758" w:rsidRDefault="007B544E" w:rsidP="003304F3">
            <w:pPr>
              <w:rPr>
                <w:sz w:val="22"/>
                <w:szCs w:val="22"/>
                <w:lang w:val="en-GB"/>
              </w:rPr>
            </w:pPr>
            <w:r>
              <w:rPr>
                <w:i/>
                <w:sz w:val="20"/>
                <w:szCs w:val="20"/>
                <w:lang w:val="en-GB"/>
              </w:rPr>
              <w:t>in UAH thousand</w:t>
            </w:r>
          </w:p>
        </w:tc>
        <w:tc>
          <w:tcPr>
            <w:tcW w:w="2444" w:type="dxa"/>
            <w:tcBorders>
              <w:top w:val="single" w:sz="4" w:space="0" w:color="auto"/>
              <w:bottom w:val="single" w:sz="4" w:space="0" w:color="auto"/>
            </w:tcBorders>
          </w:tcPr>
          <w:p w14:paraId="58A4E67F" w14:textId="4B6254B5" w:rsidR="003304F3" w:rsidRPr="00ED4758" w:rsidRDefault="003304F3" w:rsidP="003304F3">
            <w:pPr>
              <w:jc w:val="center"/>
              <w:rPr>
                <w:sz w:val="22"/>
                <w:szCs w:val="22"/>
                <w:lang w:val="en-GB"/>
              </w:rPr>
            </w:pPr>
            <w:r w:rsidRPr="00ED4758">
              <w:rPr>
                <w:b/>
                <w:bCs/>
                <w:sz w:val="22"/>
                <w:szCs w:val="22"/>
                <w:lang w:val="en-GB"/>
              </w:rPr>
              <w:t>Majority stakeholders (shareholders)</w:t>
            </w:r>
          </w:p>
        </w:tc>
        <w:tc>
          <w:tcPr>
            <w:tcW w:w="2410" w:type="dxa"/>
            <w:tcBorders>
              <w:top w:val="single" w:sz="4" w:space="0" w:color="auto"/>
              <w:bottom w:val="single" w:sz="4" w:space="0" w:color="auto"/>
            </w:tcBorders>
          </w:tcPr>
          <w:p w14:paraId="492B755F" w14:textId="5CE255DD" w:rsidR="003304F3" w:rsidRPr="00ED4758" w:rsidRDefault="003304F3" w:rsidP="003304F3">
            <w:pPr>
              <w:jc w:val="center"/>
              <w:rPr>
                <w:sz w:val="22"/>
                <w:szCs w:val="22"/>
                <w:lang w:val="en-GB"/>
              </w:rPr>
            </w:pPr>
            <w:r w:rsidRPr="00ED4758">
              <w:rPr>
                <w:b/>
                <w:bCs/>
                <w:sz w:val="22"/>
                <w:szCs w:val="22"/>
                <w:lang w:val="en-GB"/>
              </w:rPr>
              <w:t>Key management</w:t>
            </w:r>
          </w:p>
        </w:tc>
        <w:tc>
          <w:tcPr>
            <w:tcW w:w="1559" w:type="dxa"/>
            <w:tcBorders>
              <w:top w:val="single" w:sz="4" w:space="0" w:color="auto"/>
              <w:bottom w:val="single" w:sz="4" w:space="0" w:color="auto"/>
            </w:tcBorders>
          </w:tcPr>
          <w:p w14:paraId="2342922F" w14:textId="3F07926D" w:rsidR="003304F3" w:rsidRPr="00ED4758" w:rsidRDefault="003304F3" w:rsidP="003304F3">
            <w:pPr>
              <w:jc w:val="center"/>
              <w:rPr>
                <w:sz w:val="22"/>
                <w:szCs w:val="22"/>
                <w:lang w:val="en-GB"/>
              </w:rPr>
            </w:pPr>
            <w:r w:rsidRPr="00ED4758">
              <w:rPr>
                <w:b/>
                <w:bCs/>
                <w:sz w:val="22"/>
                <w:szCs w:val="22"/>
                <w:lang w:val="en-GB"/>
              </w:rPr>
              <w:t>Other related parties</w:t>
            </w:r>
          </w:p>
        </w:tc>
      </w:tr>
      <w:tr w:rsidR="003304F3" w:rsidRPr="00ED4758" w14:paraId="65772573" w14:textId="77777777" w:rsidTr="00EF31EE">
        <w:trPr>
          <w:trHeight w:val="227"/>
        </w:trPr>
        <w:tc>
          <w:tcPr>
            <w:tcW w:w="2943" w:type="dxa"/>
            <w:tcBorders>
              <w:top w:val="single" w:sz="4" w:space="0" w:color="auto"/>
            </w:tcBorders>
          </w:tcPr>
          <w:p w14:paraId="24064A16" w14:textId="4AAF98D4" w:rsidR="003304F3" w:rsidRPr="00ED4758" w:rsidRDefault="003304F3" w:rsidP="003304F3">
            <w:pPr>
              <w:jc w:val="both"/>
              <w:rPr>
                <w:sz w:val="22"/>
                <w:szCs w:val="22"/>
                <w:lang w:val="en-GB"/>
              </w:rPr>
            </w:pPr>
            <w:r w:rsidRPr="00ED4758">
              <w:rPr>
                <w:sz w:val="22"/>
                <w:szCs w:val="22"/>
                <w:lang w:val="en-GB"/>
              </w:rPr>
              <w:t>Interest expenses</w:t>
            </w:r>
          </w:p>
        </w:tc>
        <w:tc>
          <w:tcPr>
            <w:tcW w:w="2444" w:type="dxa"/>
            <w:tcBorders>
              <w:top w:val="single" w:sz="4" w:space="0" w:color="auto"/>
            </w:tcBorders>
          </w:tcPr>
          <w:p w14:paraId="2054E25F" w14:textId="77777777" w:rsidR="003304F3" w:rsidRPr="00ED4758" w:rsidRDefault="003304F3" w:rsidP="003304F3">
            <w:pPr>
              <w:jc w:val="right"/>
              <w:rPr>
                <w:sz w:val="22"/>
                <w:szCs w:val="22"/>
                <w:lang w:val="en-GB"/>
              </w:rPr>
            </w:pPr>
            <w:r w:rsidRPr="00ED4758">
              <w:rPr>
                <w:sz w:val="22"/>
                <w:szCs w:val="22"/>
                <w:lang w:val="en-GB"/>
              </w:rPr>
              <w:t>(942)</w:t>
            </w:r>
          </w:p>
        </w:tc>
        <w:tc>
          <w:tcPr>
            <w:tcW w:w="2410" w:type="dxa"/>
            <w:tcBorders>
              <w:top w:val="single" w:sz="4" w:space="0" w:color="auto"/>
            </w:tcBorders>
          </w:tcPr>
          <w:p w14:paraId="737D08B6" w14:textId="77777777" w:rsidR="003304F3" w:rsidRPr="00ED4758" w:rsidRDefault="003304F3" w:rsidP="003304F3">
            <w:pPr>
              <w:jc w:val="right"/>
              <w:rPr>
                <w:sz w:val="22"/>
                <w:szCs w:val="22"/>
                <w:lang w:val="en-GB"/>
              </w:rPr>
            </w:pPr>
            <w:r w:rsidRPr="00ED4758">
              <w:rPr>
                <w:sz w:val="22"/>
                <w:szCs w:val="22"/>
                <w:lang w:val="en-GB"/>
              </w:rPr>
              <w:t>(1)</w:t>
            </w:r>
          </w:p>
        </w:tc>
        <w:tc>
          <w:tcPr>
            <w:tcW w:w="1559" w:type="dxa"/>
            <w:tcBorders>
              <w:top w:val="single" w:sz="4" w:space="0" w:color="auto"/>
            </w:tcBorders>
          </w:tcPr>
          <w:p w14:paraId="1EC422C8" w14:textId="77777777" w:rsidR="003304F3" w:rsidRPr="00ED4758" w:rsidRDefault="003304F3" w:rsidP="003304F3">
            <w:pPr>
              <w:jc w:val="right"/>
              <w:rPr>
                <w:sz w:val="22"/>
                <w:szCs w:val="22"/>
                <w:lang w:val="en-GB"/>
              </w:rPr>
            </w:pPr>
            <w:r w:rsidRPr="00ED4758">
              <w:rPr>
                <w:sz w:val="22"/>
                <w:szCs w:val="22"/>
                <w:lang w:val="en-GB"/>
              </w:rPr>
              <w:t>-</w:t>
            </w:r>
          </w:p>
        </w:tc>
      </w:tr>
      <w:tr w:rsidR="003304F3" w:rsidRPr="00ED4758" w14:paraId="3922D960" w14:textId="77777777" w:rsidTr="00EF31EE">
        <w:trPr>
          <w:trHeight w:val="227"/>
        </w:trPr>
        <w:tc>
          <w:tcPr>
            <w:tcW w:w="2943" w:type="dxa"/>
          </w:tcPr>
          <w:p w14:paraId="26E4A1F8" w14:textId="4812F686" w:rsidR="003304F3" w:rsidRPr="00ED4758" w:rsidRDefault="003304F3" w:rsidP="003304F3">
            <w:pPr>
              <w:jc w:val="both"/>
              <w:rPr>
                <w:sz w:val="22"/>
                <w:szCs w:val="22"/>
                <w:lang w:val="en-GB"/>
              </w:rPr>
            </w:pPr>
            <w:r w:rsidRPr="00ED4758">
              <w:rPr>
                <w:sz w:val="22"/>
                <w:szCs w:val="22"/>
                <w:lang w:val="en-GB"/>
              </w:rPr>
              <w:t>Commission expenses</w:t>
            </w:r>
          </w:p>
        </w:tc>
        <w:tc>
          <w:tcPr>
            <w:tcW w:w="2444" w:type="dxa"/>
          </w:tcPr>
          <w:p w14:paraId="2C265DDE" w14:textId="77777777" w:rsidR="003304F3" w:rsidRPr="00ED4758" w:rsidRDefault="003304F3" w:rsidP="003304F3">
            <w:pPr>
              <w:jc w:val="right"/>
              <w:rPr>
                <w:sz w:val="22"/>
                <w:szCs w:val="22"/>
                <w:lang w:val="en-GB"/>
              </w:rPr>
            </w:pPr>
            <w:r w:rsidRPr="00ED4758">
              <w:rPr>
                <w:sz w:val="22"/>
                <w:szCs w:val="22"/>
                <w:lang w:val="en-GB"/>
              </w:rPr>
              <w:t>-</w:t>
            </w:r>
          </w:p>
        </w:tc>
        <w:tc>
          <w:tcPr>
            <w:tcW w:w="2410" w:type="dxa"/>
          </w:tcPr>
          <w:p w14:paraId="56EBDF05" w14:textId="77777777" w:rsidR="003304F3" w:rsidRPr="00ED4758" w:rsidRDefault="003304F3" w:rsidP="003304F3">
            <w:pPr>
              <w:jc w:val="right"/>
              <w:rPr>
                <w:sz w:val="22"/>
                <w:szCs w:val="22"/>
                <w:lang w:val="en-GB"/>
              </w:rPr>
            </w:pPr>
            <w:r w:rsidRPr="00ED4758">
              <w:rPr>
                <w:sz w:val="22"/>
                <w:szCs w:val="22"/>
                <w:lang w:val="en-GB"/>
              </w:rPr>
              <w:t>-</w:t>
            </w:r>
          </w:p>
        </w:tc>
        <w:tc>
          <w:tcPr>
            <w:tcW w:w="1559" w:type="dxa"/>
          </w:tcPr>
          <w:p w14:paraId="31D7A6B2" w14:textId="77777777" w:rsidR="003304F3" w:rsidRPr="00ED4758" w:rsidRDefault="003304F3" w:rsidP="003304F3">
            <w:pPr>
              <w:jc w:val="right"/>
              <w:rPr>
                <w:sz w:val="22"/>
                <w:szCs w:val="22"/>
                <w:lang w:val="en-GB"/>
              </w:rPr>
            </w:pPr>
            <w:r w:rsidRPr="00ED4758">
              <w:rPr>
                <w:sz w:val="22"/>
                <w:szCs w:val="22"/>
                <w:lang w:val="en-GB"/>
              </w:rPr>
              <w:t>(96)</w:t>
            </w:r>
          </w:p>
        </w:tc>
      </w:tr>
      <w:tr w:rsidR="003304F3" w:rsidRPr="00ED4758" w14:paraId="69514938" w14:textId="77777777" w:rsidTr="00EF31EE">
        <w:trPr>
          <w:trHeight w:val="227"/>
        </w:trPr>
        <w:tc>
          <w:tcPr>
            <w:tcW w:w="2943" w:type="dxa"/>
          </w:tcPr>
          <w:p w14:paraId="08FA0222" w14:textId="7998FFBC" w:rsidR="003304F3" w:rsidRPr="00ED4758" w:rsidRDefault="003304F3" w:rsidP="003304F3">
            <w:pPr>
              <w:jc w:val="both"/>
              <w:rPr>
                <w:sz w:val="22"/>
                <w:szCs w:val="22"/>
                <w:lang w:val="en-GB"/>
              </w:rPr>
            </w:pPr>
            <w:r w:rsidRPr="00ED4758">
              <w:rPr>
                <w:sz w:val="22"/>
                <w:szCs w:val="22"/>
                <w:lang w:val="en-GB"/>
              </w:rPr>
              <w:t>Commission income</w:t>
            </w:r>
          </w:p>
        </w:tc>
        <w:tc>
          <w:tcPr>
            <w:tcW w:w="2444" w:type="dxa"/>
          </w:tcPr>
          <w:p w14:paraId="7A30860D" w14:textId="77777777" w:rsidR="003304F3" w:rsidRPr="00ED4758" w:rsidRDefault="003304F3" w:rsidP="003304F3">
            <w:pPr>
              <w:jc w:val="right"/>
              <w:rPr>
                <w:sz w:val="22"/>
                <w:szCs w:val="22"/>
                <w:lang w:val="en-GB"/>
              </w:rPr>
            </w:pPr>
            <w:r w:rsidRPr="00ED4758">
              <w:rPr>
                <w:sz w:val="22"/>
                <w:szCs w:val="22"/>
                <w:lang w:val="en-GB"/>
              </w:rPr>
              <w:t>1</w:t>
            </w:r>
          </w:p>
        </w:tc>
        <w:tc>
          <w:tcPr>
            <w:tcW w:w="2410" w:type="dxa"/>
          </w:tcPr>
          <w:p w14:paraId="3293874D" w14:textId="77777777" w:rsidR="003304F3" w:rsidRPr="00ED4758" w:rsidRDefault="003304F3" w:rsidP="003304F3">
            <w:pPr>
              <w:jc w:val="right"/>
              <w:rPr>
                <w:sz w:val="22"/>
                <w:szCs w:val="22"/>
                <w:lang w:val="en-GB"/>
              </w:rPr>
            </w:pPr>
            <w:r w:rsidRPr="00ED4758">
              <w:rPr>
                <w:sz w:val="22"/>
                <w:szCs w:val="22"/>
                <w:lang w:val="en-GB"/>
              </w:rPr>
              <w:t>-</w:t>
            </w:r>
          </w:p>
        </w:tc>
        <w:tc>
          <w:tcPr>
            <w:tcW w:w="1559" w:type="dxa"/>
          </w:tcPr>
          <w:p w14:paraId="60BA6212" w14:textId="77777777" w:rsidR="003304F3" w:rsidRPr="00ED4758" w:rsidRDefault="003304F3" w:rsidP="003304F3">
            <w:pPr>
              <w:jc w:val="right"/>
              <w:rPr>
                <w:sz w:val="22"/>
                <w:szCs w:val="22"/>
                <w:lang w:val="en-GB"/>
              </w:rPr>
            </w:pPr>
          </w:p>
        </w:tc>
      </w:tr>
      <w:tr w:rsidR="003304F3" w:rsidRPr="00ED4758" w14:paraId="0AE6143C" w14:textId="77777777" w:rsidTr="00EF31EE">
        <w:trPr>
          <w:trHeight w:val="227"/>
        </w:trPr>
        <w:tc>
          <w:tcPr>
            <w:tcW w:w="2943" w:type="dxa"/>
          </w:tcPr>
          <w:p w14:paraId="6E72CCC5" w14:textId="44988C51" w:rsidR="003304F3" w:rsidRPr="00ED4758" w:rsidRDefault="003304F3" w:rsidP="003304F3">
            <w:pPr>
              <w:jc w:val="both"/>
              <w:rPr>
                <w:sz w:val="22"/>
                <w:szCs w:val="22"/>
                <w:lang w:val="en-GB"/>
              </w:rPr>
            </w:pPr>
            <w:r w:rsidRPr="00ED4758">
              <w:rPr>
                <w:sz w:val="22"/>
                <w:szCs w:val="22"/>
                <w:lang w:val="en-GB"/>
              </w:rPr>
              <w:t xml:space="preserve">Income from lease (rent) </w:t>
            </w:r>
          </w:p>
        </w:tc>
        <w:tc>
          <w:tcPr>
            <w:tcW w:w="2444" w:type="dxa"/>
          </w:tcPr>
          <w:p w14:paraId="4526A331" w14:textId="77777777" w:rsidR="003304F3" w:rsidRPr="00ED4758" w:rsidRDefault="003304F3" w:rsidP="003304F3">
            <w:pPr>
              <w:jc w:val="right"/>
              <w:rPr>
                <w:sz w:val="22"/>
                <w:szCs w:val="22"/>
                <w:lang w:val="en-GB"/>
              </w:rPr>
            </w:pPr>
            <w:r w:rsidRPr="00ED4758">
              <w:rPr>
                <w:sz w:val="22"/>
                <w:szCs w:val="22"/>
                <w:lang w:val="en-GB"/>
              </w:rPr>
              <w:t>39</w:t>
            </w:r>
          </w:p>
        </w:tc>
        <w:tc>
          <w:tcPr>
            <w:tcW w:w="2410" w:type="dxa"/>
          </w:tcPr>
          <w:p w14:paraId="764F71EE" w14:textId="73DEAECD" w:rsidR="003304F3" w:rsidRPr="00ED4758" w:rsidRDefault="003304F3" w:rsidP="003304F3">
            <w:pPr>
              <w:jc w:val="right"/>
              <w:rPr>
                <w:sz w:val="22"/>
                <w:szCs w:val="22"/>
                <w:lang w:val="en-GB"/>
              </w:rPr>
            </w:pPr>
            <w:r w:rsidRPr="00ED4758">
              <w:rPr>
                <w:sz w:val="22"/>
                <w:szCs w:val="22"/>
                <w:lang w:val="en-GB"/>
              </w:rPr>
              <w:t>-</w:t>
            </w:r>
          </w:p>
        </w:tc>
        <w:tc>
          <w:tcPr>
            <w:tcW w:w="1559" w:type="dxa"/>
          </w:tcPr>
          <w:p w14:paraId="60D29D36" w14:textId="489D500A" w:rsidR="003304F3" w:rsidRPr="00ED4758" w:rsidRDefault="003304F3" w:rsidP="003304F3">
            <w:pPr>
              <w:jc w:val="right"/>
              <w:rPr>
                <w:sz w:val="22"/>
                <w:szCs w:val="22"/>
                <w:lang w:val="en-GB"/>
              </w:rPr>
            </w:pPr>
            <w:r w:rsidRPr="00ED4758">
              <w:rPr>
                <w:sz w:val="22"/>
                <w:szCs w:val="22"/>
                <w:lang w:val="en-GB"/>
              </w:rPr>
              <w:t>-</w:t>
            </w:r>
          </w:p>
        </w:tc>
      </w:tr>
      <w:tr w:rsidR="003304F3" w:rsidRPr="00ED4758" w14:paraId="1222BE25" w14:textId="77777777" w:rsidTr="00EF31EE">
        <w:trPr>
          <w:trHeight w:val="227"/>
        </w:trPr>
        <w:tc>
          <w:tcPr>
            <w:tcW w:w="2943" w:type="dxa"/>
            <w:tcBorders>
              <w:bottom w:val="single" w:sz="4" w:space="0" w:color="auto"/>
            </w:tcBorders>
          </w:tcPr>
          <w:p w14:paraId="37A2FFB0" w14:textId="60868ECD" w:rsidR="003304F3" w:rsidRPr="00ED4758" w:rsidRDefault="003304F3" w:rsidP="003304F3">
            <w:pPr>
              <w:jc w:val="both"/>
              <w:rPr>
                <w:sz w:val="22"/>
                <w:szCs w:val="22"/>
                <w:lang w:val="en-GB"/>
              </w:rPr>
            </w:pPr>
            <w:r w:rsidRPr="00ED4758">
              <w:rPr>
                <w:sz w:val="22"/>
                <w:szCs w:val="22"/>
                <w:lang w:val="en-GB"/>
              </w:rPr>
              <w:t>Administrative and other operati</w:t>
            </w:r>
            <w:r w:rsidR="007A536C">
              <w:rPr>
                <w:sz w:val="22"/>
                <w:szCs w:val="22"/>
                <w:lang w:val="en-GB"/>
              </w:rPr>
              <w:t>ng</w:t>
            </w:r>
            <w:r w:rsidRPr="00ED4758">
              <w:rPr>
                <w:sz w:val="22"/>
                <w:szCs w:val="22"/>
                <w:lang w:val="en-GB"/>
              </w:rPr>
              <w:t xml:space="preserve"> income</w:t>
            </w:r>
          </w:p>
        </w:tc>
        <w:tc>
          <w:tcPr>
            <w:tcW w:w="2444" w:type="dxa"/>
            <w:tcBorders>
              <w:bottom w:val="single" w:sz="4" w:space="0" w:color="auto"/>
            </w:tcBorders>
          </w:tcPr>
          <w:p w14:paraId="0337DE21" w14:textId="77777777" w:rsidR="003304F3" w:rsidRPr="00ED4758" w:rsidRDefault="003304F3" w:rsidP="003304F3">
            <w:pPr>
              <w:jc w:val="right"/>
              <w:rPr>
                <w:sz w:val="22"/>
                <w:szCs w:val="22"/>
                <w:lang w:val="en-GB"/>
              </w:rPr>
            </w:pPr>
            <w:r w:rsidRPr="00ED4758">
              <w:rPr>
                <w:sz w:val="22"/>
                <w:szCs w:val="22"/>
                <w:lang w:val="en-GB"/>
              </w:rPr>
              <w:t>-</w:t>
            </w:r>
          </w:p>
        </w:tc>
        <w:tc>
          <w:tcPr>
            <w:tcW w:w="2410" w:type="dxa"/>
            <w:tcBorders>
              <w:bottom w:val="single" w:sz="4" w:space="0" w:color="auto"/>
            </w:tcBorders>
          </w:tcPr>
          <w:p w14:paraId="11514DA4" w14:textId="77777777" w:rsidR="003304F3" w:rsidRPr="00ED4758" w:rsidRDefault="003304F3" w:rsidP="003304F3">
            <w:pPr>
              <w:jc w:val="right"/>
              <w:rPr>
                <w:sz w:val="22"/>
                <w:szCs w:val="22"/>
                <w:lang w:val="en-GB"/>
              </w:rPr>
            </w:pPr>
            <w:r w:rsidRPr="00ED4758">
              <w:rPr>
                <w:sz w:val="22"/>
                <w:szCs w:val="22"/>
                <w:lang w:val="en-GB"/>
              </w:rPr>
              <w:t>(84)</w:t>
            </w:r>
          </w:p>
        </w:tc>
        <w:tc>
          <w:tcPr>
            <w:tcW w:w="1559" w:type="dxa"/>
            <w:tcBorders>
              <w:bottom w:val="single" w:sz="4" w:space="0" w:color="auto"/>
            </w:tcBorders>
          </w:tcPr>
          <w:p w14:paraId="771C4227" w14:textId="77777777" w:rsidR="003304F3" w:rsidRPr="00ED4758" w:rsidRDefault="003304F3" w:rsidP="003304F3">
            <w:pPr>
              <w:jc w:val="right"/>
              <w:rPr>
                <w:sz w:val="22"/>
                <w:szCs w:val="22"/>
                <w:lang w:val="en-GB"/>
              </w:rPr>
            </w:pPr>
            <w:r w:rsidRPr="00ED4758">
              <w:rPr>
                <w:sz w:val="22"/>
                <w:szCs w:val="22"/>
                <w:lang w:val="en-GB"/>
              </w:rPr>
              <w:t>-</w:t>
            </w:r>
          </w:p>
        </w:tc>
      </w:tr>
    </w:tbl>
    <w:p w14:paraId="59E53B2D" w14:textId="77777777" w:rsidR="009339C8" w:rsidRPr="00ED4758" w:rsidRDefault="009339C8" w:rsidP="00BB34F9">
      <w:pPr>
        <w:ind w:firstLine="567"/>
        <w:jc w:val="both"/>
        <w:rPr>
          <w:highlight w:val="yellow"/>
          <w:lang w:val="en-GB"/>
        </w:rPr>
      </w:pPr>
    </w:p>
    <w:p w14:paraId="73B41D68" w14:textId="77777777" w:rsidR="00764B91" w:rsidRPr="00ED4758" w:rsidRDefault="003304F3" w:rsidP="00764B91">
      <w:pPr>
        <w:pStyle w:val="NormalWeb"/>
        <w:tabs>
          <w:tab w:val="left" w:pos="3969"/>
          <w:tab w:val="left" w:pos="4111"/>
        </w:tabs>
        <w:spacing w:before="0" w:beforeAutospacing="0" w:after="0" w:afterAutospacing="0"/>
        <w:ind w:firstLine="567"/>
        <w:jc w:val="both"/>
        <w:rPr>
          <w:color w:val="000000"/>
          <w:lang w:val="en-GB"/>
        </w:rPr>
      </w:pPr>
      <w:r w:rsidRPr="00ED4758">
        <w:rPr>
          <w:color w:val="000000"/>
          <w:lang w:val="en-GB"/>
        </w:rPr>
        <w:t>During the reporting period, there were no facts of purchase / sale of assets in excess of 10% of total assets at the last reporting date (31.12.2018), and therefore no valuation was carried out for this purpose. To determine the total value of assets as of the end of 2018, from 1 January of the reporting year to the date of approval of the annual report for the previous reporting year, the Bank used the total value of assets according to the statistical reporting data as of 01 January 2019.</w:t>
      </w:r>
    </w:p>
    <w:p w14:paraId="011C1FF6" w14:textId="742D67BC" w:rsidR="003304F3" w:rsidRPr="00ED4758" w:rsidRDefault="003304F3" w:rsidP="00764B91">
      <w:pPr>
        <w:pStyle w:val="NormalWeb"/>
        <w:tabs>
          <w:tab w:val="left" w:pos="3969"/>
          <w:tab w:val="left" w:pos="4111"/>
        </w:tabs>
        <w:spacing w:before="0" w:beforeAutospacing="0" w:after="0" w:afterAutospacing="0"/>
        <w:ind w:firstLine="567"/>
        <w:jc w:val="both"/>
        <w:rPr>
          <w:color w:val="000000"/>
          <w:lang w:val="en-GB"/>
        </w:rPr>
      </w:pPr>
      <w:r w:rsidRPr="00ED4758">
        <w:rPr>
          <w:color w:val="000000"/>
          <w:lang w:val="en-GB"/>
        </w:rPr>
        <w:t>Fund</w:t>
      </w:r>
      <w:r w:rsidR="004B0D3A" w:rsidRPr="00ED4758">
        <w:rPr>
          <w:color w:val="000000"/>
          <w:lang w:val="en-GB"/>
        </w:rPr>
        <w:t xml:space="preserve"> plac</w:t>
      </w:r>
      <w:r w:rsidR="007A536C">
        <w:rPr>
          <w:color w:val="000000"/>
          <w:lang w:val="en-GB"/>
        </w:rPr>
        <w:t>e</w:t>
      </w:r>
      <w:r w:rsidR="004B0D3A" w:rsidRPr="00ED4758">
        <w:rPr>
          <w:color w:val="000000"/>
          <w:lang w:val="en-GB"/>
        </w:rPr>
        <w:t>ment</w:t>
      </w:r>
      <w:r w:rsidRPr="00ED4758">
        <w:rPr>
          <w:color w:val="000000"/>
          <w:lang w:val="en-GB"/>
        </w:rPr>
        <w:t xml:space="preserve"> and financial investment transactions in excess of 10% of total assets at the last reporting date were made upon decisions of the relevant authorities, the information o</w:t>
      </w:r>
      <w:r w:rsidR="004B0D3A" w:rsidRPr="00ED4758">
        <w:rPr>
          <w:color w:val="000000"/>
          <w:lang w:val="en-GB"/>
        </w:rPr>
        <w:t>n</w:t>
      </w:r>
      <w:r w:rsidRPr="00ED4758">
        <w:rPr>
          <w:color w:val="000000"/>
          <w:lang w:val="en-GB"/>
        </w:rPr>
        <w:t xml:space="preserve"> which is </w:t>
      </w:r>
      <w:r w:rsidR="007A536C">
        <w:rPr>
          <w:color w:val="000000"/>
          <w:lang w:val="en-GB"/>
        </w:rPr>
        <w:t>provided</w:t>
      </w:r>
      <w:r w:rsidRPr="00ED4758">
        <w:rPr>
          <w:color w:val="000000"/>
          <w:lang w:val="en-GB"/>
        </w:rPr>
        <w:t xml:space="preserve"> in the section </w:t>
      </w:r>
      <w:r w:rsidR="004B0D3A" w:rsidRPr="00ED4758">
        <w:rPr>
          <w:color w:val="000000"/>
          <w:lang w:val="en-GB"/>
        </w:rPr>
        <w:t xml:space="preserve">of this Report </w:t>
      </w:r>
      <w:r w:rsidRPr="00ED4758">
        <w:rPr>
          <w:color w:val="000000"/>
          <w:lang w:val="en-GB"/>
        </w:rPr>
        <w:t>on the list of items discussed by the General Meeting of Shareholders (Single Shareholder) and the Supervisory Board</w:t>
      </w:r>
      <w:r w:rsidR="004B0D3A" w:rsidRPr="00ED4758">
        <w:rPr>
          <w:color w:val="000000"/>
          <w:lang w:val="en-GB"/>
        </w:rPr>
        <w:t xml:space="preserve"> of the Bank</w:t>
      </w:r>
      <w:r w:rsidR="00764B91" w:rsidRPr="00ED4758">
        <w:rPr>
          <w:color w:val="000000"/>
          <w:lang w:val="en-GB"/>
        </w:rPr>
        <w:t>.</w:t>
      </w:r>
    </w:p>
    <w:p w14:paraId="282D7FCB" w14:textId="77777777" w:rsidR="00764B91" w:rsidRPr="00ED4758" w:rsidRDefault="00764B91" w:rsidP="00764B91">
      <w:pPr>
        <w:pStyle w:val="NormalWeb"/>
        <w:tabs>
          <w:tab w:val="left" w:pos="3969"/>
          <w:tab w:val="left" w:pos="4111"/>
        </w:tabs>
        <w:spacing w:after="120"/>
        <w:ind w:firstLine="567"/>
        <w:jc w:val="both"/>
        <w:rPr>
          <w:i/>
          <w:color w:val="000000"/>
          <w:u w:val="single"/>
          <w:lang w:val="en-GB"/>
        </w:rPr>
      </w:pPr>
      <w:r w:rsidRPr="00ED4758">
        <w:rPr>
          <w:i/>
          <w:color w:val="000000"/>
          <w:u w:val="single"/>
          <w:lang w:val="en-GB"/>
        </w:rPr>
        <w:t>Information on protecting the rights of consumers of financial services</w:t>
      </w:r>
    </w:p>
    <w:p w14:paraId="748C4BBC" w14:textId="78A00802" w:rsidR="00764B91" w:rsidRPr="00ED4758" w:rsidRDefault="00764B91" w:rsidP="00764B91">
      <w:pPr>
        <w:pStyle w:val="NormalWeb"/>
        <w:tabs>
          <w:tab w:val="left" w:pos="3969"/>
          <w:tab w:val="left" w:pos="4111"/>
        </w:tabs>
        <w:spacing w:before="0" w:beforeAutospacing="0" w:after="0" w:afterAutospacing="0"/>
        <w:ind w:firstLine="567"/>
        <w:jc w:val="both"/>
        <w:rPr>
          <w:iCs/>
          <w:color w:val="000000"/>
          <w:lang w:val="en-GB"/>
        </w:rPr>
      </w:pPr>
      <w:r w:rsidRPr="00ED4758">
        <w:rPr>
          <w:iCs/>
          <w:color w:val="000000"/>
          <w:lang w:val="en-GB"/>
        </w:rPr>
        <w:t>The mechanism of consumer rights protection is established by the current legislation, the Civil Code, the Law of Ukraine “On Consumer Protection” of 01.12.2008 No. 3161-IV.</w:t>
      </w:r>
    </w:p>
    <w:p w14:paraId="454265F4" w14:textId="6FCF9889" w:rsidR="00764B91" w:rsidRPr="00ED4758" w:rsidRDefault="00764B91" w:rsidP="00764B91">
      <w:pPr>
        <w:pStyle w:val="NormalWeb"/>
        <w:tabs>
          <w:tab w:val="left" w:pos="3969"/>
          <w:tab w:val="left" w:pos="4111"/>
        </w:tabs>
        <w:spacing w:before="0" w:beforeAutospacing="0" w:after="0" w:afterAutospacing="0"/>
        <w:ind w:firstLine="567"/>
        <w:jc w:val="both"/>
        <w:rPr>
          <w:iCs/>
          <w:color w:val="000000"/>
          <w:lang w:val="en-GB"/>
        </w:rPr>
      </w:pPr>
      <w:r w:rsidRPr="00ED4758">
        <w:rPr>
          <w:iCs/>
          <w:color w:val="000000"/>
          <w:lang w:val="en-GB"/>
        </w:rPr>
        <w:t xml:space="preserve">Before concluding a contract, a consumer of financial services has an opportunity to carefully read the available permits, licenses, terms of the contract and to clearly understand its contents, as well as the applicable tariffs. The information provided to </w:t>
      </w:r>
      <w:r w:rsidR="007A536C">
        <w:rPr>
          <w:iCs/>
          <w:color w:val="000000"/>
          <w:lang w:val="en-GB"/>
        </w:rPr>
        <w:t>a</w:t>
      </w:r>
      <w:r w:rsidRPr="00ED4758">
        <w:rPr>
          <w:iCs/>
          <w:color w:val="000000"/>
          <w:lang w:val="en-GB"/>
        </w:rPr>
        <w:t xml:space="preserve"> client is placed in a publicly accessible </w:t>
      </w:r>
      <w:r w:rsidRPr="00ED4758">
        <w:rPr>
          <w:iCs/>
          <w:color w:val="000000"/>
          <w:lang w:val="en-GB"/>
        </w:rPr>
        <w:lastRenderedPageBreak/>
        <w:t xml:space="preserve">place (cash desk) and on the Bank's official website at </w:t>
      </w:r>
      <w:hyperlink r:id="rId10" w:history="1">
        <w:r w:rsidRPr="00ED4758">
          <w:rPr>
            <w:rStyle w:val="Hyperlink"/>
            <w:iCs/>
            <w:u w:val="single"/>
            <w:lang w:val="en-GB"/>
          </w:rPr>
          <w:t>www.ubrr.com.ua</w:t>
        </w:r>
      </w:hyperlink>
      <w:r w:rsidRPr="00ED4758">
        <w:rPr>
          <w:iCs/>
          <w:color w:val="000000"/>
          <w:lang w:val="en-GB"/>
        </w:rPr>
        <w:t xml:space="preserve"> and provides a correct understanding of the essence of the financial service without imposing its purchase.</w:t>
      </w:r>
    </w:p>
    <w:p w14:paraId="1F4E28D2" w14:textId="2B5E0A34" w:rsidR="00764B91" w:rsidRPr="00ED4758" w:rsidRDefault="00764B91" w:rsidP="00764B91">
      <w:pPr>
        <w:pStyle w:val="NormalWeb"/>
        <w:tabs>
          <w:tab w:val="left" w:pos="3969"/>
          <w:tab w:val="left" w:pos="4111"/>
        </w:tabs>
        <w:spacing w:before="0" w:beforeAutospacing="0" w:after="0" w:afterAutospacing="0"/>
        <w:ind w:firstLine="567"/>
        <w:jc w:val="both"/>
        <w:rPr>
          <w:iCs/>
          <w:color w:val="000000"/>
          <w:lang w:val="en-GB"/>
        </w:rPr>
      </w:pPr>
      <w:r w:rsidRPr="00ED4758">
        <w:rPr>
          <w:iCs/>
          <w:color w:val="000000"/>
          <w:lang w:val="en-GB"/>
        </w:rPr>
        <w:t xml:space="preserve">Requirements for the terms of a contract are established by the Civil Code of Ukraine and Article 6 of the Law of Ukraine “On Consumer Protection” of 01.12.2008 No. 3161-IV. In addition, prior to the conclusion of the contract, a consumer has the right to access information on the activities of the financial institution the list of which </w:t>
      </w:r>
      <w:r w:rsidR="007A536C">
        <w:rPr>
          <w:iCs/>
          <w:color w:val="000000"/>
          <w:lang w:val="en-GB"/>
        </w:rPr>
        <w:t xml:space="preserve">(information) </w:t>
      </w:r>
      <w:r w:rsidRPr="00ED4758">
        <w:rPr>
          <w:iCs/>
          <w:color w:val="000000"/>
          <w:lang w:val="en-GB"/>
        </w:rPr>
        <w:t>is determined by Article 12 of the Law of Ukraine “On Consumer Protection” of 01.12.2008 №3161-IV.</w:t>
      </w:r>
    </w:p>
    <w:p w14:paraId="1480B857" w14:textId="3F8182BF" w:rsidR="00764B91" w:rsidRPr="00ED4758" w:rsidRDefault="00764B91" w:rsidP="00764B91">
      <w:pPr>
        <w:pStyle w:val="NormalWeb"/>
        <w:tabs>
          <w:tab w:val="left" w:pos="3969"/>
          <w:tab w:val="left" w:pos="4111"/>
        </w:tabs>
        <w:spacing w:before="0" w:beforeAutospacing="0" w:after="0" w:afterAutospacing="0"/>
        <w:ind w:firstLine="567"/>
        <w:jc w:val="both"/>
        <w:rPr>
          <w:iCs/>
          <w:color w:val="000000"/>
          <w:lang w:val="en-GB"/>
        </w:rPr>
      </w:pPr>
      <w:r w:rsidRPr="00ED4758">
        <w:rPr>
          <w:iCs/>
          <w:color w:val="000000"/>
          <w:lang w:val="en-GB"/>
        </w:rPr>
        <w:t>The</w:t>
      </w:r>
      <w:r w:rsidR="007A536C">
        <w:rPr>
          <w:iCs/>
          <w:color w:val="000000"/>
          <w:lang w:val="en-GB"/>
        </w:rPr>
        <w:t xml:space="preserve"> </w:t>
      </w:r>
      <w:r w:rsidRPr="00ED4758">
        <w:rPr>
          <w:iCs/>
          <w:color w:val="000000"/>
          <w:lang w:val="en-GB"/>
        </w:rPr>
        <w:t xml:space="preserve">complaint handling mechanism is </w:t>
      </w:r>
      <w:r w:rsidR="007A536C">
        <w:rPr>
          <w:iCs/>
          <w:color w:val="000000"/>
          <w:lang w:val="en-GB"/>
        </w:rPr>
        <w:t>provided for</w:t>
      </w:r>
      <w:r w:rsidRPr="00ED4758">
        <w:rPr>
          <w:iCs/>
          <w:color w:val="000000"/>
          <w:lang w:val="en-GB"/>
        </w:rPr>
        <w:t xml:space="preserve"> in the Bank's internal regulatory documents: “</w:t>
      </w:r>
      <w:r w:rsidR="007A536C">
        <w:rPr>
          <w:iCs/>
          <w:color w:val="000000"/>
          <w:lang w:val="en-GB"/>
        </w:rPr>
        <w:t>The p</w:t>
      </w:r>
      <w:r w:rsidRPr="00ED4758">
        <w:rPr>
          <w:iCs/>
          <w:color w:val="000000"/>
          <w:lang w:val="en-GB"/>
        </w:rPr>
        <w:t>rocedure for receiving, processing and monitoring of complaints</w:t>
      </w:r>
      <w:r w:rsidR="007A536C">
        <w:rPr>
          <w:iCs/>
          <w:color w:val="000000"/>
          <w:lang w:val="en-GB"/>
        </w:rPr>
        <w:t xml:space="preserve"> from clients</w:t>
      </w:r>
      <w:r w:rsidRPr="00ED4758">
        <w:rPr>
          <w:iCs/>
          <w:color w:val="000000"/>
          <w:lang w:val="en-GB"/>
        </w:rPr>
        <w:t>” (approved by the decision of the Executive Board of the Bank, Minutes No. 50 as of October 25, 2019) and “</w:t>
      </w:r>
      <w:r w:rsidR="007A536C">
        <w:rPr>
          <w:iCs/>
          <w:color w:val="000000"/>
          <w:lang w:val="en-GB"/>
        </w:rPr>
        <w:t>The p</w:t>
      </w:r>
      <w:r w:rsidRPr="00ED4758">
        <w:rPr>
          <w:iCs/>
          <w:color w:val="000000"/>
          <w:lang w:val="en-GB"/>
        </w:rPr>
        <w:t xml:space="preserve">rocedure for registration, consideration and processing of appeals from citizens, legal entities and state bodies” (approved by the decision of the Executive Board of the </w:t>
      </w:r>
      <w:r w:rsidR="003237BB" w:rsidRPr="00ED4758">
        <w:rPr>
          <w:iCs/>
          <w:color w:val="000000"/>
          <w:lang w:val="en-GB"/>
        </w:rPr>
        <w:t>Bank</w:t>
      </w:r>
      <w:r w:rsidRPr="00ED4758">
        <w:rPr>
          <w:iCs/>
          <w:color w:val="000000"/>
          <w:lang w:val="en-GB"/>
        </w:rPr>
        <w:t xml:space="preserve">, Minutes No. 63 as of 28.12.2019). This mechanism places the responsibility for the consideration of complaints on different structural units, depending on the </w:t>
      </w:r>
      <w:r w:rsidR="003237BB" w:rsidRPr="00ED4758">
        <w:rPr>
          <w:iCs/>
          <w:color w:val="000000"/>
          <w:lang w:val="en-GB"/>
        </w:rPr>
        <w:t>issue</w:t>
      </w:r>
      <w:r w:rsidRPr="00ED4758">
        <w:rPr>
          <w:iCs/>
          <w:color w:val="000000"/>
          <w:lang w:val="en-GB"/>
        </w:rPr>
        <w:t xml:space="preserve"> of the complaint. Written and electronic responses to complaints are signed or authori</w:t>
      </w:r>
      <w:r w:rsidR="003237BB" w:rsidRPr="00ED4758">
        <w:rPr>
          <w:iCs/>
          <w:color w:val="000000"/>
          <w:lang w:val="en-GB"/>
        </w:rPr>
        <w:t>s</w:t>
      </w:r>
      <w:r w:rsidRPr="00ED4758">
        <w:rPr>
          <w:iCs/>
          <w:color w:val="000000"/>
          <w:lang w:val="en-GB"/>
        </w:rPr>
        <w:t xml:space="preserve">ed by the Chairman of the </w:t>
      </w:r>
      <w:r w:rsidR="003237BB" w:rsidRPr="00ED4758">
        <w:rPr>
          <w:iCs/>
          <w:color w:val="000000"/>
          <w:lang w:val="en-GB"/>
        </w:rPr>
        <w:t xml:space="preserve">Executive </w:t>
      </w:r>
      <w:r w:rsidRPr="00ED4758">
        <w:rPr>
          <w:iCs/>
          <w:color w:val="000000"/>
          <w:lang w:val="en-GB"/>
        </w:rPr>
        <w:t>Board of the Bank.</w:t>
      </w:r>
    </w:p>
    <w:p w14:paraId="292C8FFD" w14:textId="591FCD8E" w:rsidR="00764B91" w:rsidRPr="00ED4758" w:rsidRDefault="007A536C" w:rsidP="007A536C">
      <w:pPr>
        <w:pStyle w:val="NormalWeb"/>
        <w:tabs>
          <w:tab w:val="left" w:pos="3969"/>
          <w:tab w:val="left" w:pos="4111"/>
        </w:tabs>
        <w:spacing w:before="0" w:beforeAutospacing="0" w:after="0" w:afterAutospacing="0"/>
        <w:ind w:firstLine="567"/>
        <w:jc w:val="both"/>
        <w:rPr>
          <w:iCs/>
          <w:color w:val="000000"/>
          <w:lang w:val="en-GB"/>
        </w:rPr>
      </w:pPr>
      <w:r>
        <w:rPr>
          <w:iCs/>
          <w:color w:val="000000"/>
          <w:lang w:val="en-GB"/>
        </w:rPr>
        <w:t>The d</w:t>
      </w:r>
      <w:r w:rsidR="003237BB" w:rsidRPr="007A536C">
        <w:rPr>
          <w:iCs/>
          <w:color w:val="000000"/>
          <w:lang w:val="en-GB"/>
        </w:rPr>
        <w:t xml:space="preserve">eputy </w:t>
      </w:r>
      <w:r>
        <w:rPr>
          <w:iCs/>
          <w:color w:val="000000"/>
          <w:lang w:val="en-GB"/>
        </w:rPr>
        <w:t>h</w:t>
      </w:r>
      <w:r w:rsidR="003237BB" w:rsidRPr="007A536C">
        <w:rPr>
          <w:iCs/>
          <w:color w:val="000000"/>
          <w:lang w:val="en-GB"/>
        </w:rPr>
        <w:t>ead</w:t>
      </w:r>
      <w:r>
        <w:rPr>
          <w:iCs/>
          <w:color w:val="000000"/>
          <w:lang w:val="en-GB"/>
        </w:rPr>
        <w:t>s</w:t>
      </w:r>
      <w:r w:rsidR="003237BB" w:rsidRPr="007A536C">
        <w:rPr>
          <w:iCs/>
          <w:color w:val="000000"/>
          <w:lang w:val="en-GB"/>
        </w:rPr>
        <w:t xml:space="preserve"> of </w:t>
      </w:r>
      <w:r>
        <w:rPr>
          <w:iCs/>
          <w:color w:val="000000"/>
          <w:lang w:val="en-GB"/>
        </w:rPr>
        <w:t xml:space="preserve">the </w:t>
      </w:r>
      <w:r w:rsidR="003237BB" w:rsidRPr="007A536C">
        <w:rPr>
          <w:iCs/>
          <w:color w:val="000000"/>
          <w:lang w:val="en-GB"/>
        </w:rPr>
        <w:t xml:space="preserve">Corporate Customers Department </w:t>
      </w:r>
      <w:proofErr w:type="spellStart"/>
      <w:r w:rsidR="003237BB" w:rsidRPr="007A536C">
        <w:rPr>
          <w:iCs/>
          <w:color w:val="000000"/>
          <w:lang w:val="en-GB"/>
        </w:rPr>
        <w:t>Beregul</w:t>
      </w:r>
      <w:proofErr w:type="spellEnd"/>
      <w:r w:rsidR="003237BB" w:rsidRPr="007A536C">
        <w:rPr>
          <w:iCs/>
          <w:color w:val="000000"/>
          <w:lang w:val="en-GB"/>
        </w:rPr>
        <w:t xml:space="preserve"> N.V. and </w:t>
      </w:r>
      <w:proofErr w:type="spellStart"/>
      <w:r w:rsidR="003237BB" w:rsidRPr="00ED4758">
        <w:rPr>
          <w:iCs/>
          <w:color w:val="000000"/>
          <w:lang w:val="en-GB"/>
        </w:rPr>
        <w:t>Vyshnevetska</w:t>
      </w:r>
      <w:proofErr w:type="spellEnd"/>
      <w:r w:rsidR="003237BB" w:rsidRPr="00ED4758">
        <w:rPr>
          <w:iCs/>
          <w:color w:val="000000"/>
          <w:lang w:val="en-GB"/>
        </w:rPr>
        <w:t xml:space="preserve"> M</w:t>
      </w:r>
      <w:r>
        <w:rPr>
          <w:iCs/>
          <w:color w:val="000000"/>
          <w:lang w:val="en-GB"/>
        </w:rPr>
        <w:t>.</w:t>
      </w:r>
      <w:r w:rsidR="003237BB" w:rsidRPr="00ED4758">
        <w:rPr>
          <w:iCs/>
          <w:color w:val="000000"/>
          <w:lang w:val="en-GB"/>
        </w:rPr>
        <w:t>E</w:t>
      </w:r>
      <w:r>
        <w:rPr>
          <w:iCs/>
          <w:color w:val="000000"/>
          <w:lang w:val="en-GB"/>
        </w:rPr>
        <w:t>.</w:t>
      </w:r>
      <w:r w:rsidR="003237BB" w:rsidRPr="00ED4758">
        <w:rPr>
          <w:iCs/>
          <w:color w:val="000000"/>
          <w:lang w:val="en-GB"/>
        </w:rPr>
        <w:t xml:space="preserve"> were appointed </w:t>
      </w:r>
      <w:r w:rsidR="00764B91" w:rsidRPr="00ED4758">
        <w:rPr>
          <w:iCs/>
          <w:color w:val="000000"/>
          <w:lang w:val="en-GB"/>
        </w:rPr>
        <w:t xml:space="preserve">responsible for cooperation with the National Bank of Ukraine </w:t>
      </w:r>
      <w:r w:rsidR="003237BB" w:rsidRPr="00ED4758">
        <w:rPr>
          <w:iCs/>
          <w:color w:val="000000"/>
          <w:lang w:val="en-GB"/>
        </w:rPr>
        <w:t>regarding</w:t>
      </w:r>
      <w:r w:rsidR="00764B91" w:rsidRPr="00ED4758">
        <w:rPr>
          <w:iCs/>
          <w:color w:val="000000"/>
          <w:lang w:val="en-GB"/>
        </w:rPr>
        <w:t xml:space="preserve"> consideration of customer </w:t>
      </w:r>
      <w:r>
        <w:rPr>
          <w:iCs/>
          <w:color w:val="000000"/>
          <w:lang w:val="en-GB"/>
        </w:rPr>
        <w:t>complaints</w:t>
      </w:r>
      <w:r w:rsidR="00764B91" w:rsidRPr="00ED4758">
        <w:rPr>
          <w:iCs/>
          <w:color w:val="000000"/>
          <w:lang w:val="en-GB"/>
        </w:rPr>
        <w:t xml:space="preserve"> and organi</w:t>
      </w:r>
      <w:r w:rsidR="003237BB" w:rsidRPr="00ED4758">
        <w:rPr>
          <w:iCs/>
          <w:color w:val="000000"/>
          <w:lang w:val="en-GB"/>
        </w:rPr>
        <w:t>s</w:t>
      </w:r>
      <w:r w:rsidR="00764B91" w:rsidRPr="00ED4758">
        <w:rPr>
          <w:iCs/>
          <w:color w:val="000000"/>
          <w:lang w:val="en-GB"/>
        </w:rPr>
        <w:t>ation of work on processing of new requirements of the National Bank of Ukraine on protection of consumer rights</w:t>
      </w:r>
      <w:r w:rsidR="003237BB" w:rsidRPr="00ED4758">
        <w:rPr>
          <w:iCs/>
          <w:color w:val="000000"/>
          <w:lang w:val="en-GB"/>
        </w:rPr>
        <w:t>.</w:t>
      </w:r>
    </w:p>
    <w:p w14:paraId="464C0EDF" w14:textId="7E8AC78D" w:rsidR="00B45100" w:rsidRPr="00ED4758" w:rsidRDefault="00764B91" w:rsidP="00764B91">
      <w:pPr>
        <w:pStyle w:val="NormalWeb"/>
        <w:tabs>
          <w:tab w:val="left" w:pos="3969"/>
          <w:tab w:val="left" w:pos="4111"/>
        </w:tabs>
        <w:spacing w:before="0" w:beforeAutospacing="0" w:after="0" w:afterAutospacing="0"/>
        <w:ind w:firstLine="567"/>
        <w:jc w:val="both"/>
        <w:rPr>
          <w:iCs/>
          <w:color w:val="000000"/>
          <w:lang w:val="en-GB"/>
        </w:rPr>
      </w:pPr>
      <w:r w:rsidRPr="00ED4758">
        <w:rPr>
          <w:iCs/>
          <w:color w:val="000000"/>
          <w:lang w:val="en-GB"/>
        </w:rPr>
        <w:t xml:space="preserve">During the reporting year, there were no complaints regarding provision of financial services, and there were no </w:t>
      </w:r>
      <w:r w:rsidR="003237BB" w:rsidRPr="00ED4758">
        <w:rPr>
          <w:iCs/>
          <w:color w:val="000000"/>
          <w:lang w:val="en-GB"/>
        </w:rPr>
        <w:t xml:space="preserve">court </w:t>
      </w:r>
      <w:r w:rsidRPr="00ED4758">
        <w:rPr>
          <w:iCs/>
          <w:color w:val="000000"/>
          <w:lang w:val="en-GB"/>
        </w:rPr>
        <w:t xml:space="preserve">claims </w:t>
      </w:r>
      <w:r w:rsidR="007A536C">
        <w:rPr>
          <w:iCs/>
          <w:color w:val="000000"/>
          <w:lang w:val="en-GB"/>
        </w:rPr>
        <w:t>on</w:t>
      </w:r>
      <w:r w:rsidRPr="00ED4758">
        <w:rPr>
          <w:iCs/>
          <w:color w:val="000000"/>
          <w:lang w:val="en-GB"/>
        </w:rPr>
        <w:t xml:space="preserve"> the provision of financial services </w:t>
      </w:r>
      <w:r w:rsidR="003237BB" w:rsidRPr="00ED4758">
        <w:rPr>
          <w:iCs/>
          <w:color w:val="000000"/>
          <w:lang w:val="en-GB"/>
        </w:rPr>
        <w:t>by</w:t>
      </w:r>
      <w:r w:rsidRPr="00ED4758">
        <w:rPr>
          <w:iCs/>
          <w:color w:val="000000"/>
          <w:lang w:val="en-GB"/>
        </w:rPr>
        <w:t xml:space="preserve"> the bank.</w:t>
      </w:r>
    </w:p>
    <w:p w14:paraId="785CA681" w14:textId="156CA252" w:rsidR="003237BB" w:rsidRPr="00ED4758" w:rsidRDefault="003237BB" w:rsidP="00764B91">
      <w:pPr>
        <w:pStyle w:val="NormalWeb"/>
        <w:tabs>
          <w:tab w:val="left" w:pos="3969"/>
          <w:tab w:val="left" w:pos="4111"/>
        </w:tabs>
        <w:spacing w:before="0" w:beforeAutospacing="0" w:after="0" w:afterAutospacing="0"/>
        <w:ind w:firstLine="567"/>
        <w:jc w:val="both"/>
        <w:rPr>
          <w:iCs/>
          <w:color w:val="000000"/>
          <w:lang w:val="en-GB"/>
        </w:rPr>
      </w:pPr>
    </w:p>
    <w:p w14:paraId="039BD638" w14:textId="77777777" w:rsidR="003237BB" w:rsidRPr="00ED4758" w:rsidRDefault="003237BB" w:rsidP="00764B91">
      <w:pPr>
        <w:pStyle w:val="NormalWeb"/>
        <w:tabs>
          <w:tab w:val="left" w:pos="3969"/>
          <w:tab w:val="left" w:pos="4111"/>
        </w:tabs>
        <w:spacing w:before="0" w:beforeAutospacing="0" w:after="0" w:afterAutospacing="0"/>
        <w:ind w:firstLine="567"/>
        <w:jc w:val="both"/>
        <w:rPr>
          <w:iCs/>
          <w:color w:val="000000"/>
          <w:highlight w:val="yellow"/>
          <w:lang w:val="en-GB"/>
        </w:rPr>
      </w:pPr>
    </w:p>
    <w:p w14:paraId="6EE34EEF" w14:textId="2328B92E" w:rsidR="00B45100" w:rsidRPr="00ED4758" w:rsidRDefault="007A536C" w:rsidP="00BB34F9">
      <w:pPr>
        <w:pStyle w:val="NormalWeb"/>
        <w:tabs>
          <w:tab w:val="left" w:pos="3969"/>
          <w:tab w:val="left" w:pos="4111"/>
        </w:tabs>
        <w:spacing w:before="0" w:beforeAutospacing="0" w:after="120" w:afterAutospacing="0"/>
        <w:ind w:firstLine="567"/>
        <w:jc w:val="both"/>
        <w:rPr>
          <w:color w:val="000000"/>
          <w:lang w:val="en-GB"/>
        </w:rPr>
      </w:pPr>
      <w:r>
        <w:rPr>
          <w:color w:val="000000"/>
          <w:lang w:val="en-GB"/>
        </w:rPr>
        <w:t>Chairman</w:t>
      </w:r>
      <w:r w:rsidR="00290ACE" w:rsidRPr="00ED4758">
        <w:rPr>
          <w:color w:val="000000"/>
          <w:lang w:val="en-GB"/>
        </w:rPr>
        <w:t xml:space="preserve"> of the Executive Board </w:t>
      </w:r>
      <w:r w:rsidR="00B45100" w:rsidRPr="00ED4758">
        <w:rPr>
          <w:color w:val="000000"/>
          <w:lang w:val="en-GB"/>
        </w:rPr>
        <w:t xml:space="preserve">                                            </w:t>
      </w:r>
      <w:r w:rsidR="00B45100" w:rsidRPr="00ED4758">
        <w:rPr>
          <w:color w:val="000000"/>
          <w:lang w:val="en-GB"/>
        </w:rPr>
        <w:tab/>
      </w:r>
      <w:r w:rsidR="00290ACE" w:rsidRPr="00ED4758">
        <w:rPr>
          <w:color w:val="000000"/>
          <w:lang w:val="en-GB"/>
        </w:rPr>
        <w:t>O.Y. Loktionov</w:t>
      </w:r>
    </w:p>
    <w:p w14:paraId="4D540F7F" w14:textId="77777777" w:rsidR="00B45100" w:rsidRPr="00ED4758" w:rsidRDefault="00B45100" w:rsidP="00BB34F9">
      <w:pPr>
        <w:rPr>
          <w:lang w:val="en-GB"/>
        </w:rPr>
      </w:pPr>
    </w:p>
    <w:sectPr w:rsidR="00B45100" w:rsidRPr="00ED4758" w:rsidSect="00EF7A6C">
      <w:headerReference w:type="default" r:id="rId11"/>
      <w:footerReference w:type="default" r:id="rId12"/>
      <w:pgSz w:w="12240" w:h="15840"/>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D4E14" w14:textId="77777777" w:rsidR="00A90920" w:rsidRDefault="00A90920" w:rsidP="00DC5F37">
      <w:r>
        <w:separator/>
      </w:r>
    </w:p>
  </w:endnote>
  <w:endnote w:type="continuationSeparator" w:id="0">
    <w:p w14:paraId="3747073E" w14:textId="77777777" w:rsidR="00A90920" w:rsidRDefault="00A90920" w:rsidP="00DC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604020202020204"/>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141613"/>
      <w:docPartObj>
        <w:docPartGallery w:val="Page Numbers (Bottom of Page)"/>
        <w:docPartUnique/>
      </w:docPartObj>
    </w:sdtPr>
    <w:sdtContent>
      <w:p w14:paraId="5BE31519" w14:textId="584A58C4" w:rsidR="00F3200D" w:rsidRDefault="00F3200D">
        <w:pPr>
          <w:pStyle w:val="Footer"/>
          <w:jc w:val="center"/>
        </w:pPr>
        <w:r>
          <w:fldChar w:fldCharType="begin"/>
        </w:r>
        <w:r>
          <w:instrText>PAGE   \* MERGEFORMAT</w:instrText>
        </w:r>
        <w:r>
          <w:fldChar w:fldCharType="separate"/>
        </w:r>
        <w:r>
          <w:rPr>
            <w:noProof/>
          </w:rPr>
          <w:t>3</w:t>
        </w:r>
        <w:r>
          <w:fldChar w:fldCharType="end"/>
        </w:r>
      </w:p>
    </w:sdtContent>
  </w:sdt>
  <w:p w14:paraId="2C1F0C73" w14:textId="77777777" w:rsidR="00F3200D" w:rsidRDefault="00F3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D9FD6" w14:textId="77777777" w:rsidR="00A90920" w:rsidRDefault="00A90920" w:rsidP="00DC5F37">
      <w:r>
        <w:separator/>
      </w:r>
    </w:p>
  </w:footnote>
  <w:footnote w:type="continuationSeparator" w:id="0">
    <w:p w14:paraId="52D9196A" w14:textId="77777777" w:rsidR="00A90920" w:rsidRDefault="00A90920" w:rsidP="00DC5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9613" w14:textId="69573547" w:rsidR="00F3200D" w:rsidRPr="009710D0" w:rsidRDefault="00F3200D" w:rsidP="00DC5F37">
    <w:pPr>
      <w:pStyle w:val="Header"/>
      <w:jc w:val="right"/>
      <w:rPr>
        <w:i/>
        <w:sz w:val="20"/>
        <w:szCs w:val="20"/>
        <w:lang w:val="en-GB"/>
      </w:rPr>
    </w:pPr>
    <w:r>
      <w:rPr>
        <w:i/>
        <w:sz w:val="20"/>
        <w:szCs w:val="20"/>
        <w:lang w:val="en-GB"/>
      </w:rPr>
      <w:t>Management report</w:t>
    </w:r>
    <w:r>
      <w:rPr>
        <w:i/>
        <w:sz w:val="20"/>
        <w:szCs w:val="20"/>
        <w:lang w:val="uk-UA"/>
      </w:rPr>
      <w:t xml:space="preserve"> </w:t>
    </w:r>
    <w:r>
      <w:rPr>
        <w:i/>
        <w:sz w:val="20"/>
        <w:szCs w:val="20"/>
        <w:lang w:val="en-GB"/>
      </w:rPr>
      <w:t>for 2019</w:t>
    </w:r>
  </w:p>
  <w:p w14:paraId="02E800F1" w14:textId="511F10F2" w:rsidR="00F3200D" w:rsidRPr="005841B5" w:rsidRDefault="00F3200D" w:rsidP="00DC5F37">
    <w:pPr>
      <w:pStyle w:val="Header"/>
      <w:jc w:val="right"/>
      <w:rPr>
        <w:i/>
        <w:sz w:val="20"/>
        <w:szCs w:val="20"/>
        <w:lang w:val="uk-UA"/>
      </w:rPr>
    </w:pPr>
    <w:r>
      <w:rPr>
        <w:i/>
        <w:sz w:val="20"/>
        <w:szCs w:val="20"/>
        <w:lang w:val="en-GB"/>
      </w:rPr>
      <w:t>Joint Stock Company “Ukrainian bank for reconstruction and development”</w:t>
    </w:r>
  </w:p>
  <w:p w14:paraId="1978CD35" w14:textId="77777777" w:rsidR="00F3200D" w:rsidRPr="00DC5F37" w:rsidRDefault="00F3200D">
    <w:pPr>
      <w:pStyle w:val="Header"/>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C6282"/>
    <w:multiLevelType w:val="hybridMultilevel"/>
    <w:tmpl w:val="A5CE49EA"/>
    <w:lvl w:ilvl="0" w:tplc="BC8A9A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F44F2"/>
    <w:multiLevelType w:val="hybridMultilevel"/>
    <w:tmpl w:val="6A525832"/>
    <w:lvl w:ilvl="0" w:tplc="12FA80C4">
      <w:start w:val="812"/>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2559A0"/>
    <w:multiLevelType w:val="hybridMultilevel"/>
    <w:tmpl w:val="9CC007A4"/>
    <w:lvl w:ilvl="0" w:tplc="2000000D">
      <w:start w:val="1"/>
      <w:numFmt w:val="bullet"/>
      <w:lvlText w:val=""/>
      <w:lvlJc w:val="left"/>
      <w:pPr>
        <w:ind w:left="1636" w:hanging="360"/>
      </w:pPr>
      <w:rPr>
        <w:rFonts w:ascii="Wingdings" w:hAnsi="Wingdings" w:hint="default"/>
      </w:rPr>
    </w:lvl>
    <w:lvl w:ilvl="1" w:tplc="20000001">
      <w:start w:val="1"/>
      <w:numFmt w:val="bullet"/>
      <w:lvlText w:val=""/>
      <w:lvlJc w:val="left"/>
      <w:pPr>
        <w:ind w:left="1777" w:hanging="360"/>
      </w:pPr>
      <w:rPr>
        <w:rFonts w:ascii="Symbol" w:hAnsi="Symbol" w:hint="default"/>
        <w:sz w:val="16"/>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 w15:restartNumberingAfterBreak="0">
    <w:nsid w:val="050D6A41"/>
    <w:multiLevelType w:val="hybridMultilevel"/>
    <w:tmpl w:val="038C7078"/>
    <w:lvl w:ilvl="0" w:tplc="2000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B306732"/>
    <w:multiLevelType w:val="hybridMultilevel"/>
    <w:tmpl w:val="7F9C0C04"/>
    <w:lvl w:ilvl="0" w:tplc="2000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E440360"/>
    <w:multiLevelType w:val="hybridMultilevel"/>
    <w:tmpl w:val="8F788662"/>
    <w:lvl w:ilvl="0" w:tplc="0A46818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53601"/>
    <w:multiLevelType w:val="hybridMultilevel"/>
    <w:tmpl w:val="D51C4D00"/>
    <w:lvl w:ilvl="0" w:tplc="B95447BC">
      <w:start w:val="1"/>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17AD0B80"/>
    <w:multiLevelType w:val="hybridMultilevel"/>
    <w:tmpl w:val="D64CB2AE"/>
    <w:lvl w:ilvl="0" w:tplc="2000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294F715C"/>
    <w:multiLevelType w:val="hybridMultilevel"/>
    <w:tmpl w:val="33465384"/>
    <w:lvl w:ilvl="0" w:tplc="2000000D">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9" w15:restartNumberingAfterBreak="0">
    <w:nsid w:val="40E851BD"/>
    <w:multiLevelType w:val="hybridMultilevel"/>
    <w:tmpl w:val="0D32A850"/>
    <w:lvl w:ilvl="0" w:tplc="377E52EE">
      <w:start w:val="2"/>
      <w:numFmt w:val="bullet"/>
      <w:lvlText w:val="-"/>
      <w:lvlJc w:val="left"/>
      <w:pPr>
        <w:tabs>
          <w:tab w:val="num" w:pos="1494"/>
        </w:tabs>
        <w:ind w:left="1494"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C7B5996"/>
    <w:multiLevelType w:val="hybridMultilevel"/>
    <w:tmpl w:val="E97A88FE"/>
    <w:lvl w:ilvl="0" w:tplc="2000000D">
      <w:start w:val="1"/>
      <w:numFmt w:val="bullet"/>
      <w:lvlText w:val=""/>
      <w:lvlJc w:val="left"/>
      <w:pPr>
        <w:ind w:left="1636" w:hanging="360"/>
      </w:pPr>
      <w:rPr>
        <w:rFonts w:ascii="Wingdings" w:hAnsi="Wingdings" w:hint="default"/>
      </w:rPr>
    </w:lvl>
    <w:lvl w:ilvl="1" w:tplc="DDB85F4A">
      <w:numFmt w:val="bullet"/>
      <w:lvlText w:val="•"/>
      <w:lvlJc w:val="left"/>
      <w:pPr>
        <w:ind w:left="2356" w:hanging="360"/>
      </w:pPr>
      <w:rPr>
        <w:rFonts w:ascii="Times New Roman" w:eastAsia="Times New Roman" w:hAnsi="Times New Roman" w:cs="Times New Roman"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579A71D1"/>
    <w:multiLevelType w:val="hybridMultilevel"/>
    <w:tmpl w:val="7C6E2746"/>
    <w:lvl w:ilvl="0" w:tplc="04A8E650">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BB603B4"/>
    <w:multiLevelType w:val="hybridMultilevel"/>
    <w:tmpl w:val="5F26968A"/>
    <w:lvl w:ilvl="0" w:tplc="B95447BC">
      <w:start w:val="1"/>
      <w:numFmt w:val="bullet"/>
      <w:lvlText w:val="-"/>
      <w:lvlJc w:val="left"/>
      <w:pPr>
        <w:tabs>
          <w:tab w:val="num" w:pos="1128"/>
        </w:tabs>
        <w:ind w:left="1128"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7D6221"/>
    <w:multiLevelType w:val="hybridMultilevel"/>
    <w:tmpl w:val="B18E187C"/>
    <w:lvl w:ilvl="0" w:tplc="493CD628">
      <w:start w:val="643"/>
      <w:numFmt w:val="bullet"/>
      <w:lvlText w:val="-"/>
      <w:lvlJc w:val="left"/>
      <w:pPr>
        <w:tabs>
          <w:tab w:val="num" w:pos="7413"/>
        </w:tabs>
        <w:ind w:left="7413" w:hanging="750"/>
      </w:pPr>
      <w:rPr>
        <w:rFonts w:ascii="Times New Roman" w:eastAsiaTheme="minorEastAsia" w:hAnsi="Times New Roman" w:cs="Times New Roman" w:hint="default"/>
        <w:sz w:val="20"/>
        <w:szCs w:val="20"/>
      </w:rPr>
    </w:lvl>
    <w:lvl w:ilvl="1" w:tplc="ADA895B0">
      <w:start w:val="1"/>
      <w:numFmt w:val="bullet"/>
      <w:lvlText w:val=""/>
      <w:lvlJc w:val="left"/>
      <w:pPr>
        <w:tabs>
          <w:tab w:val="num" w:pos="7743"/>
        </w:tabs>
        <w:ind w:left="7743" w:hanging="360"/>
      </w:pPr>
      <w:rPr>
        <w:rFonts w:ascii="Symbol" w:hAnsi="Symbol" w:hint="default"/>
        <w:sz w:val="22"/>
        <w:szCs w:val="22"/>
      </w:rPr>
    </w:lvl>
    <w:lvl w:ilvl="2" w:tplc="04190005" w:tentative="1">
      <w:start w:val="1"/>
      <w:numFmt w:val="bullet"/>
      <w:lvlText w:val=""/>
      <w:lvlJc w:val="left"/>
      <w:pPr>
        <w:tabs>
          <w:tab w:val="num" w:pos="8463"/>
        </w:tabs>
        <w:ind w:left="8463" w:hanging="360"/>
      </w:pPr>
      <w:rPr>
        <w:rFonts w:ascii="Wingdings" w:hAnsi="Wingdings" w:hint="default"/>
      </w:rPr>
    </w:lvl>
    <w:lvl w:ilvl="3" w:tplc="04190001" w:tentative="1">
      <w:start w:val="1"/>
      <w:numFmt w:val="bullet"/>
      <w:lvlText w:val=""/>
      <w:lvlJc w:val="left"/>
      <w:pPr>
        <w:tabs>
          <w:tab w:val="num" w:pos="9183"/>
        </w:tabs>
        <w:ind w:left="9183" w:hanging="360"/>
      </w:pPr>
      <w:rPr>
        <w:rFonts w:ascii="Symbol" w:hAnsi="Symbol" w:hint="default"/>
      </w:rPr>
    </w:lvl>
    <w:lvl w:ilvl="4" w:tplc="04190003" w:tentative="1">
      <w:start w:val="1"/>
      <w:numFmt w:val="bullet"/>
      <w:lvlText w:val="o"/>
      <w:lvlJc w:val="left"/>
      <w:pPr>
        <w:tabs>
          <w:tab w:val="num" w:pos="9903"/>
        </w:tabs>
        <w:ind w:left="9903" w:hanging="360"/>
      </w:pPr>
      <w:rPr>
        <w:rFonts w:ascii="Courier New" w:hAnsi="Courier New" w:cs="Courier New" w:hint="default"/>
      </w:rPr>
    </w:lvl>
    <w:lvl w:ilvl="5" w:tplc="04190005" w:tentative="1">
      <w:start w:val="1"/>
      <w:numFmt w:val="bullet"/>
      <w:lvlText w:val=""/>
      <w:lvlJc w:val="left"/>
      <w:pPr>
        <w:tabs>
          <w:tab w:val="num" w:pos="10623"/>
        </w:tabs>
        <w:ind w:left="10623" w:hanging="360"/>
      </w:pPr>
      <w:rPr>
        <w:rFonts w:ascii="Wingdings" w:hAnsi="Wingdings" w:hint="default"/>
      </w:rPr>
    </w:lvl>
    <w:lvl w:ilvl="6" w:tplc="04190001" w:tentative="1">
      <w:start w:val="1"/>
      <w:numFmt w:val="bullet"/>
      <w:lvlText w:val=""/>
      <w:lvlJc w:val="left"/>
      <w:pPr>
        <w:tabs>
          <w:tab w:val="num" w:pos="11343"/>
        </w:tabs>
        <w:ind w:left="11343" w:hanging="360"/>
      </w:pPr>
      <w:rPr>
        <w:rFonts w:ascii="Symbol" w:hAnsi="Symbol" w:hint="default"/>
      </w:rPr>
    </w:lvl>
    <w:lvl w:ilvl="7" w:tplc="04190003" w:tentative="1">
      <w:start w:val="1"/>
      <w:numFmt w:val="bullet"/>
      <w:lvlText w:val="o"/>
      <w:lvlJc w:val="left"/>
      <w:pPr>
        <w:tabs>
          <w:tab w:val="num" w:pos="12063"/>
        </w:tabs>
        <w:ind w:left="12063" w:hanging="360"/>
      </w:pPr>
      <w:rPr>
        <w:rFonts w:ascii="Courier New" w:hAnsi="Courier New" w:cs="Courier New" w:hint="default"/>
      </w:rPr>
    </w:lvl>
    <w:lvl w:ilvl="8" w:tplc="04190005" w:tentative="1">
      <w:start w:val="1"/>
      <w:numFmt w:val="bullet"/>
      <w:lvlText w:val=""/>
      <w:lvlJc w:val="left"/>
      <w:pPr>
        <w:tabs>
          <w:tab w:val="num" w:pos="12783"/>
        </w:tabs>
        <w:ind w:left="12783" w:hanging="360"/>
      </w:pPr>
      <w:rPr>
        <w:rFonts w:ascii="Wingdings" w:hAnsi="Wingdings" w:hint="default"/>
      </w:rPr>
    </w:lvl>
  </w:abstractNum>
  <w:num w:numId="1">
    <w:abstractNumId w:val="12"/>
  </w:num>
  <w:num w:numId="2">
    <w:abstractNumId w:val="0"/>
  </w:num>
  <w:num w:numId="3">
    <w:abstractNumId w:val="1"/>
  </w:num>
  <w:num w:numId="4">
    <w:abstractNumId w:val="10"/>
  </w:num>
  <w:num w:numId="5">
    <w:abstractNumId w:val="2"/>
  </w:num>
  <w:num w:numId="6">
    <w:abstractNumId w:val="4"/>
  </w:num>
  <w:num w:numId="7">
    <w:abstractNumId w:val="7"/>
  </w:num>
  <w:num w:numId="8">
    <w:abstractNumId w:val="11"/>
  </w:num>
  <w:num w:numId="9">
    <w:abstractNumId w:val="5"/>
  </w:num>
  <w:num w:numId="10">
    <w:abstractNumId w:val="9"/>
  </w:num>
  <w:num w:numId="11">
    <w:abstractNumId w:val="6"/>
  </w:num>
  <w:num w:numId="12">
    <w:abstractNumId w:val="3"/>
  </w:num>
  <w:num w:numId="13">
    <w:abstractNumId w:val="8"/>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00"/>
    <w:rsid w:val="00006515"/>
    <w:rsid w:val="00013294"/>
    <w:rsid w:val="00015405"/>
    <w:rsid w:val="00034AE6"/>
    <w:rsid w:val="0003546B"/>
    <w:rsid w:val="000470B1"/>
    <w:rsid w:val="00047505"/>
    <w:rsid w:val="00047EB9"/>
    <w:rsid w:val="00051C27"/>
    <w:rsid w:val="0005478C"/>
    <w:rsid w:val="00063985"/>
    <w:rsid w:val="000649A6"/>
    <w:rsid w:val="000736E1"/>
    <w:rsid w:val="00073FEC"/>
    <w:rsid w:val="000743DA"/>
    <w:rsid w:val="00082947"/>
    <w:rsid w:val="000940A0"/>
    <w:rsid w:val="0009560F"/>
    <w:rsid w:val="000971C8"/>
    <w:rsid w:val="000B3A7A"/>
    <w:rsid w:val="000B780F"/>
    <w:rsid w:val="000C3E73"/>
    <w:rsid w:val="000C5C22"/>
    <w:rsid w:val="000E0185"/>
    <w:rsid w:val="000E1F5A"/>
    <w:rsid w:val="000E256E"/>
    <w:rsid w:val="000F786C"/>
    <w:rsid w:val="001070D9"/>
    <w:rsid w:val="00110766"/>
    <w:rsid w:val="001240C1"/>
    <w:rsid w:val="001427CF"/>
    <w:rsid w:val="0014424C"/>
    <w:rsid w:val="00146D6F"/>
    <w:rsid w:val="00147016"/>
    <w:rsid w:val="0015421B"/>
    <w:rsid w:val="00165A6F"/>
    <w:rsid w:val="00173A26"/>
    <w:rsid w:val="00174A23"/>
    <w:rsid w:val="00184809"/>
    <w:rsid w:val="00193FF7"/>
    <w:rsid w:val="00195348"/>
    <w:rsid w:val="001A1BDD"/>
    <w:rsid w:val="001B0BD4"/>
    <w:rsid w:val="001B21DC"/>
    <w:rsid w:val="001B4495"/>
    <w:rsid w:val="001C3D31"/>
    <w:rsid w:val="001D47E7"/>
    <w:rsid w:val="001E24C5"/>
    <w:rsid w:val="001F58AB"/>
    <w:rsid w:val="001F623C"/>
    <w:rsid w:val="002024AB"/>
    <w:rsid w:val="002035A3"/>
    <w:rsid w:val="00205BF4"/>
    <w:rsid w:val="00213581"/>
    <w:rsid w:val="002174F4"/>
    <w:rsid w:val="0022284B"/>
    <w:rsid w:val="00226A0D"/>
    <w:rsid w:val="00232DF3"/>
    <w:rsid w:val="00240613"/>
    <w:rsid w:val="00241313"/>
    <w:rsid w:val="00241601"/>
    <w:rsid w:val="00252CB1"/>
    <w:rsid w:val="00261BA3"/>
    <w:rsid w:val="002819A3"/>
    <w:rsid w:val="00281BD3"/>
    <w:rsid w:val="00282179"/>
    <w:rsid w:val="00290ACE"/>
    <w:rsid w:val="00292C49"/>
    <w:rsid w:val="00293B4A"/>
    <w:rsid w:val="002B0BD1"/>
    <w:rsid w:val="002B21DE"/>
    <w:rsid w:val="002C7142"/>
    <w:rsid w:val="002E154D"/>
    <w:rsid w:val="002E45D7"/>
    <w:rsid w:val="002F5144"/>
    <w:rsid w:val="002F6E76"/>
    <w:rsid w:val="00302426"/>
    <w:rsid w:val="00302932"/>
    <w:rsid w:val="00303FB0"/>
    <w:rsid w:val="003079AF"/>
    <w:rsid w:val="00320C29"/>
    <w:rsid w:val="00322265"/>
    <w:rsid w:val="003237BB"/>
    <w:rsid w:val="00325E06"/>
    <w:rsid w:val="00327ABD"/>
    <w:rsid w:val="003304F3"/>
    <w:rsid w:val="00331FAA"/>
    <w:rsid w:val="00336633"/>
    <w:rsid w:val="00336F30"/>
    <w:rsid w:val="003415C0"/>
    <w:rsid w:val="00341A66"/>
    <w:rsid w:val="00352560"/>
    <w:rsid w:val="0035388D"/>
    <w:rsid w:val="00354764"/>
    <w:rsid w:val="00360C54"/>
    <w:rsid w:val="00365DB0"/>
    <w:rsid w:val="00384C0C"/>
    <w:rsid w:val="003A053A"/>
    <w:rsid w:val="003A77F3"/>
    <w:rsid w:val="003B2926"/>
    <w:rsid w:val="003C000C"/>
    <w:rsid w:val="003D3A9F"/>
    <w:rsid w:val="003D6E7A"/>
    <w:rsid w:val="003D7169"/>
    <w:rsid w:val="003E1181"/>
    <w:rsid w:val="003F4D5D"/>
    <w:rsid w:val="003F7344"/>
    <w:rsid w:val="00402B4B"/>
    <w:rsid w:val="00405E07"/>
    <w:rsid w:val="00420A0D"/>
    <w:rsid w:val="004223D7"/>
    <w:rsid w:val="00425C5C"/>
    <w:rsid w:val="00434B7C"/>
    <w:rsid w:val="0044460F"/>
    <w:rsid w:val="00452E41"/>
    <w:rsid w:val="00463464"/>
    <w:rsid w:val="00465FDB"/>
    <w:rsid w:val="004764E8"/>
    <w:rsid w:val="00484DC6"/>
    <w:rsid w:val="004B0D3A"/>
    <w:rsid w:val="004D0608"/>
    <w:rsid w:val="004D41C9"/>
    <w:rsid w:val="004E1EA2"/>
    <w:rsid w:val="004E4270"/>
    <w:rsid w:val="004E47A0"/>
    <w:rsid w:val="004F1EF6"/>
    <w:rsid w:val="004F1FA7"/>
    <w:rsid w:val="00501526"/>
    <w:rsid w:val="005053D9"/>
    <w:rsid w:val="0052552C"/>
    <w:rsid w:val="005452AB"/>
    <w:rsid w:val="00553C60"/>
    <w:rsid w:val="005542AD"/>
    <w:rsid w:val="0055757E"/>
    <w:rsid w:val="00565803"/>
    <w:rsid w:val="0059247D"/>
    <w:rsid w:val="0059254E"/>
    <w:rsid w:val="00597FF9"/>
    <w:rsid w:val="005A053A"/>
    <w:rsid w:val="005A1A10"/>
    <w:rsid w:val="005A2F66"/>
    <w:rsid w:val="005A3085"/>
    <w:rsid w:val="005B09A2"/>
    <w:rsid w:val="005B5EC9"/>
    <w:rsid w:val="005B77B2"/>
    <w:rsid w:val="005C0F02"/>
    <w:rsid w:val="005E720F"/>
    <w:rsid w:val="005F547C"/>
    <w:rsid w:val="005F5D8E"/>
    <w:rsid w:val="00613AC6"/>
    <w:rsid w:val="00616A70"/>
    <w:rsid w:val="00620140"/>
    <w:rsid w:val="00622E3D"/>
    <w:rsid w:val="00630DDF"/>
    <w:rsid w:val="00651856"/>
    <w:rsid w:val="006555F5"/>
    <w:rsid w:val="006639A8"/>
    <w:rsid w:val="00682064"/>
    <w:rsid w:val="00683C50"/>
    <w:rsid w:val="006847D2"/>
    <w:rsid w:val="006959E3"/>
    <w:rsid w:val="006A0E3F"/>
    <w:rsid w:val="006B5F12"/>
    <w:rsid w:val="006C0F08"/>
    <w:rsid w:val="006C4F40"/>
    <w:rsid w:val="006C6057"/>
    <w:rsid w:val="006E00EB"/>
    <w:rsid w:val="006F3FAD"/>
    <w:rsid w:val="00702A05"/>
    <w:rsid w:val="00715DDD"/>
    <w:rsid w:val="00726DFF"/>
    <w:rsid w:val="00730BA5"/>
    <w:rsid w:val="00733105"/>
    <w:rsid w:val="00735118"/>
    <w:rsid w:val="00736118"/>
    <w:rsid w:val="00751AD5"/>
    <w:rsid w:val="007632A2"/>
    <w:rsid w:val="00764B91"/>
    <w:rsid w:val="00764DEB"/>
    <w:rsid w:val="007751D1"/>
    <w:rsid w:val="007766DA"/>
    <w:rsid w:val="00781F7C"/>
    <w:rsid w:val="00793458"/>
    <w:rsid w:val="00796BD9"/>
    <w:rsid w:val="007A134C"/>
    <w:rsid w:val="007A368A"/>
    <w:rsid w:val="007A3921"/>
    <w:rsid w:val="007A3BE5"/>
    <w:rsid w:val="007A536C"/>
    <w:rsid w:val="007B544E"/>
    <w:rsid w:val="007B69EF"/>
    <w:rsid w:val="007C6A24"/>
    <w:rsid w:val="007F08AE"/>
    <w:rsid w:val="007F600B"/>
    <w:rsid w:val="007F608E"/>
    <w:rsid w:val="008104F5"/>
    <w:rsid w:val="008147DE"/>
    <w:rsid w:val="008273BF"/>
    <w:rsid w:val="00832FFF"/>
    <w:rsid w:val="00842168"/>
    <w:rsid w:val="008479DD"/>
    <w:rsid w:val="00847B54"/>
    <w:rsid w:val="0085383A"/>
    <w:rsid w:val="00856656"/>
    <w:rsid w:val="008623D2"/>
    <w:rsid w:val="00863157"/>
    <w:rsid w:val="00863EE0"/>
    <w:rsid w:val="00872EF6"/>
    <w:rsid w:val="0088046D"/>
    <w:rsid w:val="00882859"/>
    <w:rsid w:val="00884576"/>
    <w:rsid w:val="0088489E"/>
    <w:rsid w:val="00884F98"/>
    <w:rsid w:val="008908F2"/>
    <w:rsid w:val="008920AD"/>
    <w:rsid w:val="008A6A9C"/>
    <w:rsid w:val="008B0839"/>
    <w:rsid w:val="008C217D"/>
    <w:rsid w:val="008C58CD"/>
    <w:rsid w:val="008D64DE"/>
    <w:rsid w:val="00906754"/>
    <w:rsid w:val="00912146"/>
    <w:rsid w:val="00924916"/>
    <w:rsid w:val="009324F5"/>
    <w:rsid w:val="009339C8"/>
    <w:rsid w:val="00955A01"/>
    <w:rsid w:val="009564F4"/>
    <w:rsid w:val="00956C76"/>
    <w:rsid w:val="0095728A"/>
    <w:rsid w:val="0096240D"/>
    <w:rsid w:val="0096515F"/>
    <w:rsid w:val="00970BA5"/>
    <w:rsid w:val="009710D0"/>
    <w:rsid w:val="00972AC5"/>
    <w:rsid w:val="00976F1E"/>
    <w:rsid w:val="00995811"/>
    <w:rsid w:val="009A00A4"/>
    <w:rsid w:val="009A2C7F"/>
    <w:rsid w:val="009A635A"/>
    <w:rsid w:val="009B7B50"/>
    <w:rsid w:val="009B7EB4"/>
    <w:rsid w:val="009C1FA9"/>
    <w:rsid w:val="009C40D7"/>
    <w:rsid w:val="009C49A9"/>
    <w:rsid w:val="009D2937"/>
    <w:rsid w:val="009D4F13"/>
    <w:rsid w:val="009E1096"/>
    <w:rsid w:val="009E12F0"/>
    <w:rsid w:val="009E577B"/>
    <w:rsid w:val="00A00748"/>
    <w:rsid w:val="00A07E2A"/>
    <w:rsid w:val="00A12A50"/>
    <w:rsid w:val="00A1642E"/>
    <w:rsid w:val="00A22DD2"/>
    <w:rsid w:val="00A26B81"/>
    <w:rsid w:val="00A26F93"/>
    <w:rsid w:val="00A3148A"/>
    <w:rsid w:val="00A35147"/>
    <w:rsid w:val="00A46E21"/>
    <w:rsid w:val="00A5182E"/>
    <w:rsid w:val="00A60839"/>
    <w:rsid w:val="00A63BE4"/>
    <w:rsid w:val="00A72B4A"/>
    <w:rsid w:val="00A80374"/>
    <w:rsid w:val="00A8625D"/>
    <w:rsid w:val="00A905F9"/>
    <w:rsid w:val="00A90920"/>
    <w:rsid w:val="00A93B2B"/>
    <w:rsid w:val="00A93FA1"/>
    <w:rsid w:val="00AB055A"/>
    <w:rsid w:val="00AC742A"/>
    <w:rsid w:val="00AE0F36"/>
    <w:rsid w:val="00AE77EE"/>
    <w:rsid w:val="00AF1A20"/>
    <w:rsid w:val="00B00FF8"/>
    <w:rsid w:val="00B05612"/>
    <w:rsid w:val="00B10567"/>
    <w:rsid w:val="00B23F7D"/>
    <w:rsid w:val="00B27566"/>
    <w:rsid w:val="00B41355"/>
    <w:rsid w:val="00B417F3"/>
    <w:rsid w:val="00B45100"/>
    <w:rsid w:val="00B46550"/>
    <w:rsid w:val="00B46F11"/>
    <w:rsid w:val="00B50A32"/>
    <w:rsid w:val="00B50C52"/>
    <w:rsid w:val="00B569F3"/>
    <w:rsid w:val="00B65AEF"/>
    <w:rsid w:val="00B82444"/>
    <w:rsid w:val="00B962B4"/>
    <w:rsid w:val="00BA4E59"/>
    <w:rsid w:val="00BA536F"/>
    <w:rsid w:val="00BA5C6D"/>
    <w:rsid w:val="00BB03C5"/>
    <w:rsid w:val="00BB34F9"/>
    <w:rsid w:val="00BC362B"/>
    <w:rsid w:val="00BC3DA6"/>
    <w:rsid w:val="00BD1AC1"/>
    <w:rsid w:val="00BD73DB"/>
    <w:rsid w:val="00BD7F52"/>
    <w:rsid w:val="00BE5DC7"/>
    <w:rsid w:val="00BE7252"/>
    <w:rsid w:val="00BF4384"/>
    <w:rsid w:val="00BF6814"/>
    <w:rsid w:val="00BF7CCB"/>
    <w:rsid w:val="00C003EA"/>
    <w:rsid w:val="00C024E5"/>
    <w:rsid w:val="00C06174"/>
    <w:rsid w:val="00C07D09"/>
    <w:rsid w:val="00C11366"/>
    <w:rsid w:val="00C14119"/>
    <w:rsid w:val="00C45D5F"/>
    <w:rsid w:val="00C60180"/>
    <w:rsid w:val="00C61A8B"/>
    <w:rsid w:val="00C624CF"/>
    <w:rsid w:val="00C6338E"/>
    <w:rsid w:val="00C656A7"/>
    <w:rsid w:val="00C67410"/>
    <w:rsid w:val="00C85B5A"/>
    <w:rsid w:val="00CA2632"/>
    <w:rsid w:val="00CB3703"/>
    <w:rsid w:val="00CB4ED4"/>
    <w:rsid w:val="00CC1EFF"/>
    <w:rsid w:val="00CC2DF5"/>
    <w:rsid w:val="00CC300B"/>
    <w:rsid w:val="00CC5821"/>
    <w:rsid w:val="00CC5A16"/>
    <w:rsid w:val="00CC5CC6"/>
    <w:rsid w:val="00CE3716"/>
    <w:rsid w:val="00CE5D6C"/>
    <w:rsid w:val="00D321A2"/>
    <w:rsid w:val="00D34A14"/>
    <w:rsid w:val="00D44AC8"/>
    <w:rsid w:val="00D473D3"/>
    <w:rsid w:val="00D55246"/>
    <w:rsid w:val="00D62808"/>
    <w:rsid w:val="00D841CC"/>
    <w:rsid w:val="00D93DF2"/>
    <w:rsid w:val="00D94671"/>
    <w:rsid w:val="00D9492C"/>
    <w:rsid w:val="00D95406"/>
    <w:rsid w:val="00D9650D"/>
    <w:rsid w:val="00D96D40"/>
    <w:rsid w:val="00DA553A"/>
    <w:rsid w:val="00DA57F1"/>
    <w:rsid w:val="00DA5B81"/>
    <w:rsid w:val="00DA643F"/>
    <w:rsid w:val="00DB16DA"/>
    <w:rsid w:val="00DB6B4F"/>
    <w:rsid w:val="00DC0FAF"/>
    <w:rsid w:val="00DC2860"/>
    <w:rsid w:val="00DC3538"/>
    <w:rsid w:val="00DC5F20"/>
    <w:rsid w:val="00DC5F37"/>
    <w:rsid w:val="00DD2149"/>
    <w:rsid w:val="00DD46DF"/>
    <w:rsid w:val="00DD5817"/>
    <w:rsid w:val="00DF6B28"/>
    <w:rsid w:val="00E01B7D"/>
    <w:rsid w:val="00E02961"/>
    <w:rsid w:val="00E043EA"/>
    <w:rsid w:val="00E0650E"/>
    <w:rsid w:val="00E42C58"/>
    <w:rsid w:val="00E4516A"/>
    <w:rsid w:val="00E80F2D"/>
    <w:rsid w:val="00E827EB"/>
    <w:rsid w:val="00E869B2"/>
    <w:rsid w:val="00E971B1"/>
    <w:rsid w:val="00EA7E0C"/>
    <w:rsid w:val="00EB528A"/>
    <w:rsid w:val="00EC2029"/>
    <w:rsid w:val="00EC59FD"/>
    <w:rsid w:val="00ED11D5"/>
    <w:rsid w:val="00ED4758"/>
    <w:rsid w:val="00ED5B6B"/>
    <w:rsid w:val="00EE2CC8"/>
    <w:rsid w:val="00EF31EE"/>
    <w:rsid w:val="00EF7A6C"/>
    <w:rsid w:val="00F15B9D"/>
    <w:rsid w:val="00F165E2"/>
    <w:rsid w:val="00F27863"/>
    <w:rsid w:val="00F30038"/>
    <w:rsid w:val="00F3200D"/>
    <w:rsid w:val="00F32E11"/>
    <w:rsid w:val="00F35009"/>
    <w:rsid w:val="00F350B4"/>
    <w:rsid w:val="00F36047"/>
    <w:rsid w:val="00F5036B"/>
    <w:rsid w:val="00F503A7"/>
    <w:rsid w:val="00F614F3"/>
    <w:rsid w:val="00F65C8D"/>
    <w:rsid w:val="00F6642A"/>
    <w:rsid w:val="00F746B7"/>
    <w:rsid w:val="00F77ED2"/>
    <w:rsid w:val="00F80AD8"/>
    <w:rsid w:val="00F83524"/>
    <w:rsid w:val="00F84572"/>
    <w:rsid w:val="00F90C29"/>
    <w:rsid w:val="00F97444"/>
    <w:rsid w:val="00FA2EE2"/>
    <w:rsid w:val="00FB25F8"/>
    <w:rsid w:val="00FB475C"/>
    <w:rsid w:val="00FB5FA5"/>
    <w:rsid w:val="00FB6DC3"/>
    <w:rsid w:val="00FD5447"/>
    <w:rsid w:val="00FD6696"/>
    <w:rsid w:val="00FE7472"/>
    <w:rsid w:val="00FF6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188DC"/>
  <w15:docId w15:val="{0B69DD68-309E-49DC-8442-BA1D6EA3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00"/>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link w:val="Heading1Char"/>
    <w:uiPriority w:val="9"/>
    <w:qFormat/>
    <w:rsid w:val="00CE5D6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
    <w:basedOn w:val="Normal"/>
    <w:link w:val="NormalWebChar"/>
    <w:qFormat/>
    <w:rsid w:val="00B45100"/>
    <w:pPr>
      <w:spacing w:before="100" w:beforeAutospacing="1" w:after="100" w:afterAutospacing="1"/>
    </w:pPr>
  </w:style>
  <w:style w:type="paragraph" w:styleId="ListParagraph">
    <w:name w:val="List Paragraph"/>
    <w:basedOn w:val="Normal"/>
    <w:link w:val="ListParagraphChar"/>
    <w:uiPriority w:val="34"/>
    <w:qFormat/>
    <w:rsid w:val="00B45100"/>
    <w:pPr>
      <w:ind w:left="720"/>
      <w:contextualSpacing/>
    </w:pPr>
  </w:style>
  <w:style w:type="character" w:customStyle="1" w:styleId="NormalWebChar">
    <w:name w:val="Normal (Web) Char"/>
    <w:aliases w:val="Обычный (Web) Char"/>
    <w:link w:val="NormalWeb"/>
    <w:rsid w:val="00B45100"/>
    <w:rPr>
      <w:rFonts w:ascii="Times New Roman" w:eastAsia="Times New Roman" w:hAnsi="Times New Roman" w:cs="Times New Roman"/>
      <w:sz w:val="24"/>
      <w:szCs w:val="24"/>
      <w:lang w:val="ru-RU" w:eastAsia="ru-RU"/>
    </w:rPr>
  </w:style>
  <w:style w:type="paragraph" w:customStyle="1" w:styleId="rvps2">
    <w:name w:val="rvps2"/>
    <w:basedOn w:val="Normal"/>
    <w:rsid w:val="00B45100"/>
    <w:pPr>
      <w:spacing w:before="100" w:beforeAutospacing="1" w:after="100" w:afterAutospacing="1"/>
    </w:pPr>
  </w:style>
  <w:style w:type="character" w:customStyle="1" w:styleId="longtext">
    <w:name w:val="long_text"/>
    <w:basedOn w:val="DefaultParagraphFont"/>
    <w:rsid w:val="00B45100"/>
  </w:style>
  <w:style w:type="paragraph" w:styleId="BodyTextIndent2">
    <w:name w:val="Body Text Indent 2"/>
    <w:aliases w:val="Body Text Indent 2 Char"/>
    <w:basedOn w:val="Normal"/>
    <w:link w:val="BodyTextIndent2Char1"/>
    <w:rsid w:val="00B45100"/>
    <w:pPr>
      <w:spacing w:after="120" w:line="480" w:lineRule="auto"/>
      <w:ind w:left="283"/>
    </w:pPr>
  </w:style>
  <w:style w:type="character" w:customStyle="1" w:styleId="BodyTextIndent2Char1">
    <w:name w:val="Body Text Indent 2 Char1"/>
    <w:aliases w:val="Body Text Indent 2 Char Char"/>
    <w:basedOn w:val="DefaultParagraphFont"/>
    <w:link w:val="BodyTextIndent2"/>
    <w:rsid w:val="00B45100"/>
    <w:rPr>
      <w:rFonts w:ascii="Times New Roman" w:eastAsia="Times New Roman" w:hAnsi="Times New Roman" w:cs="Times New Roman"/>
      <w:sz w:val="24"/>
      <w:szCs w:val="24"/>
      <w:lang w:val="ru-RU" w:eastAsia="ru-RU"/>
    </w:rPr>
  </w:style>
  <w:style w:type="paragraph" w:styleId="BodyTextIndent">
    <w:name w:val="Body Text Indent"/>
    <w:aliases w:val="Body Text 2 Char"/>
    <w:basedOn w:val="Normal"/>
    <w:link w:val="BodyTextIndentChar"/>
    <w:rsid w:val="00B45100"/>
    <w:pPr>
      <w:spacing w:after="120"/>
      <w:ind w:left="283"/>
    </w:pPr>
  </w:style>
  <w:style w:type="character" w:customStyle="1" w:styleId="BodyTextIndentChar">
    <w:name w:val="Body Text Indent Char"/>
    <w:aliases w:val="Body Text 2 Char Char"/>
    <w:basedOn w:val="DefaultParagraphFont"/>
    <w:link w:val="BodyTextIndent"/>
    <w:rsid w:val="00B45100"/>
    <w:rPr>
      <w:rFonts w:ascii="Times New Roman" w:eastAsia="Times New Roman" w:hAnsi="Times New Roman" w:cs="Times New Roman"/>
      <w:sz w:val="24"/>
      <w:szCs w:val="24"/>
      <w:lang w:val="ru-RU" w:eastAsia="ru-RU"/>
    </w:rPr>
  </w:style>
  <w:style w:type="paragraph" w:customStyle="1" w:styleId="23">
    <w:name w:val="Основной текст 23"/>
    <w:basedOn w:val="Normal"/>
    <w:rsid w:val="00B45100"/>
    <w:pPr>
      <w:ind w:right="170"/>
      <w:jc w:val="both"/>
    </w:pPr>
    <w:rPr>
      <w:szCs w:val="20"/>
      <w:lang w:eastAsia="uk-UA"/>
    </w:rPr>
  </w:style>
  <w:style w:type="character" w:styleId="Hyperlink">
    <w:name w:val="Hyperlink"/>
    <w:basedOn w:val="DefaultParagraphFont"/>
    <w:rsid w:val="00B45100"/>
    <w:rPr>
      <w:strike w:val="0"/>
      <w:dstrike w:val="0"/>
      <w:color w:val="006796"/>
      <w:u w:val="none"/>
      <w:effect w:val="none"/>
    </w:rPr>
  </w:style>
  <w:style w:type="table" w:styleId="TableGrid">
    <w:name w:val="Table Grid"/>
    <w:basedOn w:val="TableNormal"/>
    <w:rsid w:val="00B45100"/>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w:basedOn w:val="Normal"/>
    <w:link w:val="HeaderChar1"/>
    <w:unhideWhenUsed/>
    <w:rsid w:val="00DC5F37"/>
    <w:pPr>
      <w:tabs>
        <w:tab w:val="center" w:pos="4844"/>
        <w:tab w:val="right" w:pos="9689"/>
      </w:tabs>
    </w:pPr>
  </w:style>
  <w:style w:type="character" w:customStyle="1" w:styleId="HeaderChar1">
    <w:name w:val="Header Char1"/>
    <w:aliases w:val="Header Char Char"/>
    <w:basedOn w:val="DefaultParagraphFont"/>
    <w:link w:val="Header"/>
    <w:rsid w:val="00DC5F37"/>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DC5F37"/>
    <w:pPr>
      <w:tabs>
        <w:tab w:val="center" w:pos="4844"/>
        <w:tab w:val="right" w:pos="9689"/>
      </w:tabs>
    </w:pPr>
  </w:style>
  <w:style w:type="character" w:customStyle="1" w:styleId="FooterChar">
    <w:name w:val="Footer Char"/>
    <w:basedOn w:val="DefaultParagraphFont"/>
    <w:link w:val="Footer"/>
    <w:uiPriority w:val="99"/>
    <w:rsid w:val="00DC5F37"/>
    <w:rPr>
      <w:rFonts w:ascii="Times New Roman" w:eastAsia="Times New Roman" w:hAnsi="Times New Roman" w:cs="Times New Roman"/>
      <w:sz w:val="24"/>
      <w:szCs w:val="24"/>
      <w:lang w:val="ru-RU" w:eastAsia="ru-RU"/>
    </w:rPr>
  </w:style>
  <w:style w:type="character" w:customStyle="1" w:styleId="tlid-translation">
    <w:name w:val="tlid-translation"/>
    <w:basedOn w:val="DefaultParagraphFont"/>
    <w:rsid w:val="00281BD3"/>
  </w:style>
  <w:style w:type="character" w:customStyle="1" w:styleId="4">
    <w:name w:val="Основной текст (4)_"/>
    <w:basedOn w:val="DefaultParagraphFont"/>
    <w:link w:val="40"/>
    <w:rsid w:val="00281BD3"/>
    <w:rPr>
      <w:rFonts w:ascii="Arial" w:eastAsia="Arial" w:hAnsi="Arial" w:cs="Arial"/>
      <w:b/>
      <w:bCs/>
      <w:sz w:val="28"/>
      <w:szCs w:val="28"/>
      <w:shd w:val="clear" w:color="auto" w:fill="FFFFFF"/>
      <w:lang w:eastAsia="ru-RU" w:bidi="ru-RU"/>
    </w:rPr>
  </w:style>
  <w:style w:type="paragraph" w:customStyle="1" w:styleId="40">
    <w:name w:val="Основной текст (4)"/>
    <w:basedOn w:val="Normal"/>
    <w:link w:val="4"/>
    <w:rsid w:val="00281BD3"/>
    <w:pPr>
      <w:widowControl w:val="0"/>
      <w:shd w:val="clear" w:color="auto" w:fill="FFFFFF"/>
      <w:spacing w:after="200"/>
      <w:ind w:left="1400"/>
    </w:pPr>
    <w:rPr>
      <w:rFonts w:ascii="Arial" w:eastAsia="Arial" w:hAnsi="Arial" w:cs="Arial"/>
      <w:b/>
      <w:bCs/>
      <w:sz w:val="28"/>
      <w:szCs w:val="28"/>
      <w:lang w:val="en-US" w:bidi="ru-RU"/>
    </w:rPr>
  </w:style>
  <w:style w:type="character" w:customStyle="1" w:styleId="FontStyle31">
    <w:name w:val="Font Style31"/>
    <w:rsid w:val="00354764"/>
    <w:rPr>
      <w:rFonts w:ascii="Times New Roman" w:hAnsi="Times New Roman" w:cs="Times New Roman"/>
      <w:color w:val="000000"/>
      <w:sz w:val="22"/>
      <w:szCs w:val="22"/>
    </w:rPr>
  </w:style>
  <w:style w:type="character" w:styleId="CommentReference">
    <w:name w:val="annotation reference"/>
    <w:basedOn w:val="DefaultParagraphFont"/>
    <w:uiPriority w:val="99"/>
    <w:semiHidden/>
    <w:unhideWhenUsed/>
    <w:rsid w:val="009339C8"/>
    <w:rPr>
      <w:sz w:val="16"/>
      <w:szCs w:val="16"/>
    </w:rPr>
  </w:style>
  <w:style w:type="paragraph" w:styleId="CommentText">
    <w:name w:val="annotation text"/>
    <w:basedOn w:val="Normal"/>
    <w:link w:val="CommentTextChar"/>
    <w:uiPriority w:val="99"/>
    <w:unhideWhenUsed/>
    <w:rsid w:val="009339C8"/>
    <w:pPr>
      <w:spacing w:after="80"/>
    </w:pPr>
    <w:rPr>
      <w:sz w:val="20"/>
      <w:szCs w:val="20"/>
    </w:rPr>
  </w:style>
  <w:style w:type="character" w:customStyle="1" w:styleId="CommentTextChar">
    <w:name w:val="Comment Text Char"/>
    <w:basedOn w:val="DefaultParagraphFont"/>
    <w:link w:val="CommentText"/>
    <w:uiPriority w:val="99"/>
    <w:rsid w:val="009339C8"/>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933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9C8"/>
    <w:rPr>
      <w:rFonts w:ascii="Segoe UI" w:eastAsia="Times New Roman" w:hAnsi="Segoe UI" w:cs="Segoe UI"/>
      <w:sz w:val="18"/>
      <w:szCs w:val="18"/>
      <w:lang w:val="ru-RU" w:eastAsia="ru-RU"/>
    </w:rPr>
  </w:style>
  <w:style w:type="paragraph" w:styleId="CommentSubject">
    <w:name w:val="annotation subject"/>
    <w:basedOn w:val="CommentText"/>
    <w:next w:val="CommentText"/>
    <w:link w:val="CommentSubjectChar"/>
    <w:uiPriority w:val="99"/>
    <w:semiHidden/>
    <w:unhideWhenUsed/>
    <w:rsid w:val="00972AC5"/>
    <w:pPr>
      <w:spacing w:after="0"/>
    </w:pPr>
    <w:rPr>
      <w:b/>
      <w:bCs/>
    </w:rPr>
  </w:style>
  <w:style w:type="character" w:customStyle="1" w:styleId="CommentSubjectChar">
    <w:name w:val="Comment Subject Char"/>
    <w:basedOn w:val="CommentTextChar"/>
    <w:link w:val="CommentSubject"/>
    <w:uiPriority w:val="99"/>
    <w:semiHidden/>
    <w:rsid w:val="00972AC5"/>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6C4F40"/>
    <w:pPr>
      <w:spacing w:after="0"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basedOn w:val="DefaultParagraphFont"/>
    <w:link w:val="ListParagraph"/>
    <w:uiPriority w:val="34"/>
    <w:locked/>
    <w:rsid w:val="00FF694E"/>
    <w:rPr>
      <w:rFonts w:ascii="Times New Roman" w:eastAsia="Times New Roman" w:hAnsi="Times New Roman" w:cs="Times New Roman"/>
      <w:sz w:val="24"/>
      <w:szCs w:val="24"/>
      <w:lang w:val="ru-RU" w:eastAsia="ru-RU"/>
    </w:rPr>
  </w:style>
  <w:style w:type="character" w:customStyle="1" w:styleId="st">
    <w:name w:val="st"/>
    <w:basedOn w:val="DefaultParagraphFont"/>
    <w:rsid w:val="00CE5D6C"/>
  </w:style>
  <w:style w:type="character" w:styleId="Emphasis">
    <w:name w:val="Emphasis"/>
    <w:basedOn w:val="DefaultParagraphFont"/>
    <w:uiPriority w:val="20"/>
    <w:qFormat/>
    <w:rsid w:val="00CE5D6C"/>
    <w:rPr>
      <w:i/>
      <w:iCs/>
    </w:rPr>
  </w:style>
  <w:style w:type="character" w:customStyle="1" w:styleId="Heading1Char">
    <w:name w:val="Heading 1 Char"/>
    <w:basedOn w:val="DefaultParagraphFont"/>
    <w:link w:val="Heading1"/>
    <w:uiPriority w:val="9"/>
    <w:rsid w:val="00CE5D6C"/>
    <w:rPr>
      <w:rFonts w:ascii="Times New Roman" w:eastAsia="Times New Roman" w:hAnsi="Times New Roman" w:cs="Times New Roman"/>
      <w:b/>
      <w:bCs/>
      <w:kern w:val="36"/>
      <w:sz w:val="48"/>
      <w:szCs w:val="48"/>
      <w:lang w:val="ru-RU" w:eastAsia="ru-RU"/>
    </w:rPr>
  </w:style>
  <w:style w:type="character" w:styleId="UnresolvedMention">
    <w:name w:val="Unresolved Mention"/>
    <w:basedOn w:val="DefaultParagraphFont"/>
    <w:uiPriority w:val="99"/>
    <w:semiHidden/>
    <w:unhideWhenUsed/>
    <w:rsid w:val="00764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64588">
      <w:bodyDiv w:val="1"/>
      <w:marLeft w:val="0"/>
      <w:marRight w:val="0"/>
      <w:marTop w:val="0"/>
      <w:marBottom w:val="0"/>
      <w:divBdr>
        <w:top w:val="none" w:sz="0" w:space="0" w:color="auto"/>
        <w:left w:val="none" w:sz="0" w:space="0" w:color="auto"/>
        <w:bottom w:val="none" w:sz="0" w:space="0" w:color="auto"/>
        <w:right w:val="none" w:sz="0" w:space="0" w:color="auto"/>
      </w:divBdr>
    </w:div>
    <w:div w:id="79097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brr.com.u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TotalTime>
  <Pages>24</Pages>
  <Words>10401</Words>
  <Characters>59289</Characters>
  <Application>Microsoft Office Word</Application>
  <DocSecurity>0</DocSecurity>
  <Lines>494</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Зеленюк Наталія Олександрівна</dc:creator>
  <cp:lastModifiedBy>Anastasiia Zeleniuk</cp:lastModifiedBy>
  <cp:revision>12</cp:revision>
  <cp:lastPrinted>2020-04-09T14:21:00Z</cp:lastPrinted>
  <dcterms:created xsi:type="dcterms:W3CDTF">2020-04-29T17:29:00Z</dcterms:created>
  <dcterms:modified xsi:type="dcterms:W3CDTF">2020-05-03T19:35:00Z</dcterms:modified>
</cp:coreProperties>
</file>