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933AA9" w:rsidRPr="00BA5143" w:rsidRDefault="00933AA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7B5259">
      <w:pPr>
        <w:rPr>
          <w:lang w:val="en-US"/>
        </w:rPr>
      </w:pPr>
    </w:p>
    <w:p w:rsidR="007B5259" w:rsidRPr="00BA5143" w:rsidRDefault="003821DB" w:rsidP="007B5259">
      <w:pPr>
        <w:jc w:val="center"/>
        <w:rPr>
          <w:b/>
          <w:sz w:val="48"/>
          <w:szCs w:val="48"/>
          <w:lang w:val="en-US"/>
        </w:rPr>
      </w:pPr>
      <w:r w:rsidRPr="00BA5143">
        <w:rPr>
          <w:b/>
          <w:sz w:val="48"/>
          <w:szCs w:val="48"/>
          <w:lang w:val="en-US"/>
        </w:rPr>
        <w:t>ANNUAL REPORT</w:t>
      </w:r>
    </w:p>
    <w:p w:rsidR="007B5259" w:rsidRPr="00BA5143" w:rsidRDefault="007B5259" w:rsidP="007B5259">
      <w:pPr>
        <w:jc w:val="center"/>
        <w:rPr>
          <w:b/>
          <w:sz w:val="48"/>
          <w:szCs w:val="48"/>
          <w:lang w:val="en-US"/>
        </w:rPr>
      </w:pPr>
    </w:p>
    <w:p w:rsidR="007B5259" w:rsidRPr="00BA5143" w:rsidRDefault="003821DB" w:rsidP="007B5259">
      <w:pPr>
        <w:jc w:val="center"/>
        <w:rPr>
          <w:b/>
          <w:sz w:val="48"/>
          <w:szCs w:val="48"/>
          <w:lang w:val="en-US"/>
        </w:rPr>
      </w:pPr>
      <w:r w:rsidRPr="00BA5143">
        <w:rPr>
          <w:b/>
          <w:sz w:val="48"/>
          <w:szCs w:val="48"/>
          <w:lang w:val="en-US"/>
        </w:rPr>
        <w:t>JSC</w:t>
      </w:r>
      <w:r w:rsidR="004605A1" w:rsidRPr="00BA5143">
        <w:rPr>
          <w:b/>
          <w:sz w:val="48"/>
          <w:szCs w:val="48"/>
          <w:lang w:val="en-US"/>
        </w:rPr>
        <w:t xml:space="preserve"> </w:t>
      </w:r>
      <w:r w:rsidRPr="00BA5143">
        <w:rPr>
          <w:b/>
          <w:sz w:val="48"/>
          <w:szCs w:val="48"/>
          <w:lang w:val="en-US"/>
        </w:rPr>
        <w:t>“UKRAINIAN BANK FOR RECONSTRUCTION AND DEVELOPMENT”</w:t>
      </w:r>
    </w:p>
    <w:p w:rsidR="007B5259" w:rsidRPr="00BA5143" w:rsidRDefault="007B5259" w:rsidP="007B5259">
      <w:pPr>
        <w:jc w:val="center"/>
        <w:rPr>
          <w:b/>
          <w:sz w:val="48"/>
          <w:szCs w:val="48"/>
          <w:lang w:val="en-US"/>
        </w:rPr>
      </w:pPr>
    </w:p>
    <w:p w:rsidR="007B5259" w:rsidRPr="00BA5143" w:rsidRDefault="003821DB" w:rsidP="007B5259">
      <w:pPr>
        <w:jc w:val="center"/>
        <w:rPr>
          <w:sz w:val="32"/>
          <w:szCs w:val="32"/>
          <w:lang w:val="en-US"/>
        </w:rPr>
      </w:pPr>
      <w:r w:rsidRPr="00BA5143">
        <w:rPr>
          <w:sz w:val="32"/>
          <w:szCs w:val="32"/>
          <w:lang w:val="en-US"/>
        </w:rPr>
        <w:t xml:space="preserve">For the year that ended 31 December 2018 </w:t>
      </w:r>
    </w:p>
    <w:p w:rsidR="007B5259" w:rsidRPr="00BA5143" w:rsidRDefault="007B5259" w:rsidP="007B5259">
      <w:pPr>
        <w:jc w:val="center"/>
        <w:rPr>
          <w:sz w:val="48"/>
          <w:szCs w:val="4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jc w:val="center"/>
        <w:rPr>
          <w:sz w:val="28"/>
          <w:szCs w:val="28"/>
          <w:lang w:val="en-US"/>
        </w:rPr>
      </w:pPr>
    </w:p>
    <w:p w:rsidR="007B5259" w:rsidRPr="00BA5143" w:rsidRDefault="007B5259" w:rsidP="007B5259">
      <w:pPr>
        <w:rPr>
          <w:sz w:val="28"/>
          <w:szCs w:val="28"/>
          <w:lang w:val="en-US"/>
        </w:rPr>
      </w:pPr>
    </w:p>
    <w:p w:rsidR="007B5259" w:rsidRPr="00BA5143" w:rsidRDefault="007B5259" w:rsidP="007B5259">
      <w:pPr>
        <w:rPr>
          <w:sz w:val="28"/>
          <w:szCs w:val="28"/>
          <w:lang w:val="en-US"/>
        </w:rPr>
      </w:pPr>
    </w:p>
    <w:p w:rsidR="007B5259" w:rsidRPr="00BA5143" w:rsidRDefault="007B5259" w:rsidP="007B5259">
      <w:pPr>
        <w:rPr>
          <w:sz w:val="28"/>
          <w:szCs w:val="28"/>
          <w:lang w:val="en-US"/>
        </w:rPr>
      </w:pPr>
    </w:p>
    <w:p w:rsidR="00B6485D" w:rsidRPr="00BA5143" w:rsidRDefault="00B6485D" w:rsidP="007B5259">
      <w:pPr>
        <w:rPr>
          <w:sz w:val="28"/>
          <w:szCs w:val="28"/>
          <w:lang w:val="en-US"/>
        </w:rPr>
      </w:pPr>
    </w:p>
    <w:p w:rsidR="005B3DBE" w:rsidRPr="00BA5143" w:rsidRDefault="005B3DBE" w:rsidP="0036086A">
      <w:pPr>
        <w:jc w:val="center"/>
        <w:rPr>
          <w:b/>
          <w:sz w:val="28"/>
          <w:szCs w:val="28"/>
          <w:lang w:val="en-US"/>
        </w:rPr>
      </w:pPr>
    </w:p>
    <w:p w:rsidR="004074A0" w:rsidRPr="00BA5143" w:rsidRDefault="001D6E12" w:rsidP="004074A0">
      <w:pPr>
        <w:spacing w:after="120" w:line="220" w:lineRule="exact"/>
        <w:rPr>
          <w:b/>
          <w:lang w:val="en-US"/>
        </w:rPr>
      </w:pPr>
      <w:r w:rsidRPr="00BA5143">
        <w:rPr>
          <w:b/>
          <w:lang w:val="en-US"/>
        </w:rPr>
        <w:t>CONTENT</w:t>
      </w:r>
    </w:p>
    <w:tbl>
      <w:tblPr>
        <w:tblStyle w:val="af4"/>
        <w:tblW w:w="910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7087"/>
        <w:gridCol w:w="700"/>
        <w:gridCol w:w="754"/>
      </w:tblGrid>
      <w:tr w:rsidR="003115D9" w:rsidRPr="00BA5143" w:rsidTr="00D8464B">
        <w:trPr>
          <w:trHeight w:hRule="exact" w:val="227"/>
        </w:trPr>
        <w:tc>
          <w:tcPr>
            <w:tcW w:w="567" w:type="dxa"/>
          </w:tcPr>
          <w:p w:rsidR="003115D9" w:rsidRPr="00BA5143" w:rsidRDefault="003115D9" w:rsidP="004074A0">
            <w:pPr>
              <w:spacing w:after="120" w:line="220" w:lineRule="exact"/>
              <w:rPr>
                <w:lang w:val="en-US"/>
              </w:rPr>
            </w:pPr>
          </w:p>
        </w:tc>
        <w:tc>
          <w:tcPr>
            <w:tcW w:w="7087" w:type="dxa"/>
          </w:tcPr>
          <w:p w:rsidR="003115D9" w:rsidRPr="00BA5143" w:rsidRDefault="001D6E12" w:rsidP="004074A0">
            <w:pPr>
              <w:spacing w:after="120" w:line="220" w:lineRule="exact"/>
              <w:rPr>
                <w:lang w:val="en-US"/>
              </w:rPr>
            </w:pPr>
            <w:r w:rsidRPr="00BA5143">
              <w:rPr>
                <w:lang w:val="en-US"/>
              </w:rPr>
              <w:t>FINANCIAL STATEMENTS</w:t>
            </w:r>
          </w:p>
        </w:tc>
        <w:tc>
          <w:tcPr>
            <w:tcW w:w="700" w:type="dxa"/>
          </w:tcPr>
          <w:p w:rsidR="003115D9" w:rsidRPr="00BA5143" w:rsidRDefault="003115D9" w:rsidP="004074A0">
            <w:pPr>
              <w:spacing w:after="120" w:line="220" w:lineRule="exact"/>
              <w:rPr>
                <w:lang w:val="en-US"/>
              </w:rPr>
            </w:pPr>
          </w:p>
        </w:tc>
        <w:tc>
          <w:tcPr>
            <w:tcW w:w="754" w:type="dxa"/>
          </w:tcPr>
          <w:p w:rsidR="003115D9" w:rsidRPr="00BA5143" w:rsidRDefault="003115D9" w:rsidP="004074A0">
            <w:pPr>
              <w:spacing w:after="120" w:line="220" w:lineRule="exact"/>
              <w:rPr>
                <w:lang w:val="en-US"/>
              </w:rPr>
            </w:pP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p>
        </w:tc>
        <w:tc>
          <w:tcPr>
            <w:tcW w:w="7087" w:type="dxa"/>
          </w:tcPr>
          <w:p w:rsidR="00E70A77" w:rsidRPr="00BA5143" w:rsidRDefault="001D6E12" w:rsidP="004074A0">
            <w:pPr>
              <w:spacing w:after="120" w:line="220" w:lineRule="exact"/>
              <w:rPr>
                <w:lang w:val="en-US"/>
              </w:rPr>
            </w:pPr>
            <w:r w:rsidRPr="00BA5143">
              <w:rPr>
                <w:lang w:val="en-US"/>
              </w:rPr>
              <w:t>Financial statement (Balance)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70A77" w:rsidP="00885425">
            <w:pPr>
              <w:spacing w:after="120" w:line="220" w:lineRule="exact"/>
              <w:rPr>
                <w:lang w:val="en-US"/>
              </w:rPr>
            </w:pPr>
            <w:r w:rsidRPr="00BA5143">
              <w:rPr>
                <w:lang w:val="en-US"/>
              </w:rPr>
              <w:t>3</w:t>
            </w: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p>
        </w:tc>
        <w:tc>
          <w:tcPr>
            <w:tcW w:w="7087" w:type="dxa"/>
          </w:tcPr>
          <w:p w:rsidR="00E70A77" w:rsidRPr="00BA5143" w:rsidRDefault="001D6E12" w:rsidP="00E22681">
            <w:pPr>
              <w:spacing w:after="120" w:line="220" w:lineRule="exact"/>
              <w:rPr>
                <w:lang w:val="en-US"/>
              </w:rPr>
            </w:pPr>
            <w:r w:rsidRPr="00BA5143">
              <w:rPr>
                <w:lang w:val="en-US"/>
              </w:rPr>
              <w:t>Statement of profit and loss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70A77" w:rsidP="00885425">
            <w:pPr>
              <w:spacing w:after="120" w:line="220" w:lineRule="exact"/>
              <w:rPr>
                <w:lang w:val="en-US"/>
              </w:rPr>
            </w:pPr>
            <w:r w:rsidRPr="00BA5143">
              <w:rPr>
                <w:lang w:val="en-US"/>
              </w:rPr>
              <w:t>4</w:t>
            </w:r>
          </w:p>
        </w:tc>
      </w:tr>
      <w:tr w:rsidR="00E22681" w:rsidRPr="00BA5143" w:rsidTr="00D8464B">
        <w:trPr>
          <w:trHeight w:hRule="exact" w:val="227"/>
        </w:trPr>
        <w:tc>
          <w:tcPr>
            <w:tcW w:w="567" w:type="dxa"/>
          </w:tcPr>
          <w:p w:rsidR="00E22681" w:rsidRPr="00BA5143" w:rsidRDefault="00E22681" w:rsidP="004074A0">
            <w:pPr>
              <w:spacing w:after="120" w:line="220" w:lineRule="exact"/>
              <w:rPr>
                <w:lang w:val="en-US"/>
              </w:rPr>
            </w:pPr>
          </w:p>
        </w:tc>
        <w:tc>
          <w:tcPr>
            <w:tcW w:w="7087" w:type="dxa"/>
          </w:tcPr>
          <w:p w:rsidR="00E22681" w:rsidRPr="00BA5143" w:rsidRDefault="001D6E12" w:rsidP="00E22681">
            <w:pPr>
              <w:spacing w:after="120" w:line="220" w:lineRule="exact"/>
              <w:rPr>
                <w:lang w:val="en-US"/>
              </w:rPr>
            </w:pPr>
            <w:r w:rsidRPr="00BA5143">
              <w:rPr>
                <w:lang w:val="en-US"/>
              </w:rPr>
              <w:t>Comprehensive income statement</w:t>
            </w:r>
            <w:r w:rsidR="00E22681" w:rsidRPr="00BA5143">
              <w:rPr>
                <w:lang w:val="en-US"/>
              </w:rPr>
              <w:t xml:space="preserve">     </w:t>
            </w:r>
          </w:p>
        </w:tc>
        <w:tc>
          <w:tcPr>
            <w:tcW w:w="700" w:type="dxa"/>
          </w:tcPr>
          <w:p w:rsidR="00E22681" w:rsidRPr="00BA5143" w:rsidRDefault="00E22681" w:rsidP="00E22681">
            <w:pPr>
              <w:spacing w:after="120" w:line="220" w:lineRule="exact"/>
              <w:jc w:val="right"/>
              <w:rPr>
                <w:lang w:val="en-US"/>
              </w:rPr>
            </w:pPr>
          </w:p>
        </w:tc>
        <w:tc>
          <w:tcPr>
            <w:tcW w:w="754" w:type="dxa"/>
          </w:tcPr>
          <w:p w:rsidR="00E22681" w:rsidRPr="00BA5143" w:rsidRDefault="00E22681" w:rsidP="00885425">
            <w:pPr>
              <w:spacing w:after="120" w:line="220" w:lineRule="exact"/>
              <w:rPr>
                <w:lang w:val="en-US"/>
              </w:rPr>
            </w:pPr>
            <w:r w:rsidRPr="00BA5143">
              <w:rPr>
                <w:lang w:val="en-US"/>
              </w:rPr>
              <w:t>5</w:t>
            </w: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p>
        </w:tc>
        <w:tc>
          <w:tcPr>
            <w:tcW w:w="7087" w:type="dxa"/>
          </w:tcPr>
          <w:p w:rsidR="00E70A77" w:rsidRPr="00BA5143" w:rsidRDefault="00FA5F18" w:rsidP="00E76A07">
            <w:pPr>
              <w:spacing w:after="120" w:line="220" w:lineRule="exact"/>
              <w:rPr>
                <w:lang w:val="en-US"/>
              </w:rPr>
            </w:pPr>
            <w:r w:rsidRPr="00BA5143">
              <w:rPr>
                <w:lang w:val="en-US"/>
              </w:rPr>
              <w:t>Statement of changes in equity</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22681" w:rsidP="00885425">
            <w:pPr>
              <w:spacing w:after="120" w:line="220" w:lineRule="exact"/>
              <w:rPr>
                <w:lang w:val="en-US"/>
              </w:rPr>
            </w:pPr>
            <w:r w:rsidRPr="00BA5143">
              <w:rPr>
                <w:lang w:val="en-US"/>
              </w:rPr>
              <w:t>6</w:t>
            </w:r>
          </w:p>
        </w:tc>
      </w:tr>
      <w:tr w:rsidR="00E70A77" w:rsidRPr="00BA5143" w:rsidTr="00D8464B">
        <w:trPr>
          <w:trHeight w:hRule="exact" w:val="227"/>
        </w:trPr>
        <w:tc>
          <w:tcPr>
            <w:tcW w:w="567" w:type="dxa"/>
          </w:tcPr>
          <w:p w:rsidR="00E70A77" w:rsidRPr="00BA5143" w:rsidRDefault="00E70A77" w:rsidP="003115D9">
            <w:pPr>
              <w:spacing w:after="120" w:line="220" w:lineRule="exact"/>
              <w:rPr>
                <w:lang w:val="en-US"/>
              </w:rPr>
            </w:pPr>
          </w:p>
        </w:tc>
        <w:tc>
          <w:tcPr>
            <w:tcW w:w="7087" w:type="dxa"/>
          </w:tcPr>
          <w:p w:rsidR="00E70A77" w:rsidRPr="00BA5143" w:rsidRDefault="00FA5F18" w:rsidP="003115D9">
            <w:pPr>
              <w:spacing w:after="120" w:line="220" w:lineRule="exact"/>
              <w:rPr>
                <w:lang w:val="en-US"/>
              </w:rPr>
            </w:pPr>
            <w:r w:rsidRPr="00BA5143">
              <w:rPr>
                <w:lang w:val="en-US"/>
              </w:rPr>
              <w:t>Statement of cash flows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22681" w:rsidP="00885425">
            <w:pPr>
              <w:spacing w:after="120" w:line="220" w:lineRule="exact"/>
              <w:rPr>
                <w:lang w:val="en-US"/>
              </w:rPr>
            </w:pPr>
            <w:r w:rsidRPr="00BA5143">
              <w:rPr>
                <w:lang w:val="en-US"/>
              </w:rPr>
              <w:t>7</w:t>
            </w:r>
          </w:p>
        </w:tc>
      </w:tr>
      <w:tr w:rsidR="00E70A77" w:rsidRPr="00BA5143" w:rsidTr="00D8464B">
        <w:trPr>
          <w:trHeight w:hRule="exact" w:val="227"/>
        </w:trPr>
        <w:tc>
          <w:tcPr>
            <w:tcW w:w="567" w:type="dxa"/>
          </w:tcPr>
          <w:p w:rsidR="00E70A77" w:rsidRPr="00BA5143" w:rsidRDefault="00E70A77" w:rsidP="003115D9">
            <w:pPr>
              <w:spacing w:after="120" w:line="220" w:lineRule="exact"/>
              <w:rPr>
                <w:lang w:val="en-US"/>
              </w:rPr>
            </w:pPr>
          </w:p>
        </w:tc>
        <w:tc>
          <w:tcPr>
            <w:tcW w:w="7087" w:type="dxa"/>
          </w:tcPr>
          <w:p w:rsidR="00E70A77" w:rsidRPr="00BA5143" w:rsidRDefault="00FA5F18" w:rsidP="003115D9">
            <w:pPr>
              <w:spacing w:after="120" w:line="220" w:lineRule="exact"/>
              <w:rPr>
                <w:lang w:val="en-US"/>
              </w:rPr>
            </w:pPr>
            <w:r w:rsidRPr="00BA5143">
              <w:rPr>
                <w:lang w:val="en-US"/>
              </w:rPr>
              <w:t>NOTES TO FINANCIAL STATEMENTS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70A77" w:rsidP="004074A0">
            <w:pPr>
              <w:spacing w:after="120" w:line="220" w:lineRule="exact"/>
              <w:rPr>
                <w:lang w:val="en-US"/>
              </w:rPr>
            </w:pP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r w:rsidRPr="00BA5143">
              <w:rPr>
                <w:lang w:val="en-US"/>
              </w:rPr>
              <w:t>1.</w:t>
            </w:r>
          </w:p>
        </w:tc>
        <w:tc>
          <w:tcPr>
            <w:tcW w:w="7087" w:type="dxa"/>
          </w:tcPr>
          <w:p w:rsidR="00E70A77" w:rsidRPr="00BA5143" w:rsidRDefault="00FA5F18" w:rsidP="004074A0">
            <w:pPr>
              <w:spacing w:after="120" w:line="220" w:lineRule="exact"/>
              <w:rPr>
                <w:lang w:val="en-US"/>
              </w:rPr>
            </w:pPr>
            <w:r w:rsidRPr="00BA5143">
              <w:rPr>
                <w:lang w:val="en-US"/>
              </w:rPr>
              <w:t>Information about the bank</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0826F6" w:rsidP="004074A0">
            <w:pPr>
              <w:spacing w:after="120" w:line="220" w:lineRule="exact"/>
              <w:rPr>
                <w:lang w:val="en-US"/>
              </w:rPr>
            </w:pPr>
            <w:r w:rsidRPr="00BA5143">
              <w:rPr>
                <w:lang w:val="en-US"/>
              </w:rPr>
              <w:t>8</w:t>
            </w:r>
          </w:p>
        </w:tc>
      </w:tr>
      <w:tr w:rsidR="00E70A77" w:rsidRPr="00BA5143" w:rsidTr="00FA5F18">
        <w:trPr>
          <w:trHeight w:hRule="exact" w:val="279"/>
        </w:trPr>
        <w:tc>
          <w:tcPr>
            <w:tcW w:w="567" w:type="dxa"/>
          </w:tcPr>
          <w:p w:rsidR="00E70A77" w:rsidRPr="00BA5143" w:rsidRDefault="00E70A77" w:rsidP="00FA5F18">
            <w:pPr>
              <w:spacing w:line="220" w:lineRule="exact"/>
              <w:rPr>
                <w:lang w:val="en-US"/>
              </w:rPr>
            </w:pPr>
            <w:r w:rsidRPr="00BA5143">
              <w:rPr>
                <w:lang w:val="en-US"/>
              </w:rPr>
              <w:t>2.</w:t>
            </w:r>
          </w:p>
        </w:tc>
        <w:tc>
          <w:tcPr>
            <w:tcW w:w="7087" w:type="dxa"/>
          </w:tcPr>
          <w:p w:rsidR="00E70A77" w:rsidRPr="00BA5143" w:rsidRDefault="00FA5F18" w:rsidP="00FA5F18">
            <w:pPr>
              <w:spacing w:line="220" w:lineRule="exact"/>
              <w:rPr>
                <w:lang w:val="en-US"/>
              </w:rPr>
            </w:pPr>
            <w:r w:rsidRPr="00BA5143">
              <w:rPr>
                <w:lang w:val="en-US"/>
              </w:rPr>
              <w:t>Economic environment in which the bank carries out its activities</w:t>
            </w:r>
          </w:p>
        </w:tc>
        <w:tc>
          <w:tcPr>
            <w:tcW w:w="700" w:type="dxa"/>
          </w:tcPr>
          <w:p w:rsidR="00E70A77" w:rsidRPr="00BA5143" w:rsidRDefault="00E70A77" w:rsidP="00FA5F18">
            <w:pPr>
              <w:spacing w:line="220" w:lineRule="exact"/>
              <w:rPr>
                <w:lang w:val="en-US"/>
              </w:rPr>
            </w:pPr>
          </w:p>
        </w:tc>
        <w:tc>
          <w:tcPr>
            <w:tcW w:w="754" w:type="dxa"/>
          </w:tcPr>
          <w:p w:rsidR="00E70A77" w:rsidRPr="00BA5143" w:rsidRDefault="00FF18A6" w:rsidP="00FA5F18">
            <w:pPr>
              <w:spacing w:line="220" w:lineRule="exact"/>
              <w:rPr>
                <w:lang w:val="en-US"/>
              </w:rPr>
            </w:pPr>
            <w:r w:rsidRPr="00BA5143">
              <w:rPr>
                <w:lang w:val="en-US"/>
              </w:rPr>
              <w:t>9</w:t>
            </w:r>
          </w:p>
        </w:tc>
      </w:tr>
      <w:tr w:rsidR="00E70A77" w:rsidRPr="00BA5143" w:rsidTr="00D8464B">
        <w:trPr>
          <w:trHeight w:hRule="exact" w:val="227"/>
        </w:trPr>
        <w:tc>
          <w:tcPr>
            <w:tcW w:w="567" w:type="dxa"/>
          </w:tcPr>
          <w:p w:rsidR="00E70A77" w:rsidRPr="00BA5143" w:rsidRDefault="00E70A77" w:rsidP="00FA5F18">
            <w:pPr>
              <w:spacing w:line="220" w:lineRule="exact"/>
              <w:rPr>
                <w:lang w:val="en-US"/>
              </w:rPr>
            </w:pPr>
            <w:r w:rsidRPr="00BA5143">
              <w:rPr>
                <w:lang w:val="en-US"/>
              </w:rPr>
              <w:t>3.</w:t>
            </w:r>
          </w:p>
        </w:tc>
        <w:tc>
          <w:tcPr>
            <w:tcW w:w="7087" w:type="dxa"/>
          </w:tcPr>
          <w:p w:rsidR="00E70A77" w:rsidRPr="00BA5143" w:rsidRDefault="00FA5F18" w:rsidP="00FA5F18">
            <w:pPr>
              <w:spacing w:line="220" w:lineRule="exact"/>
              <w:rPr>
                <w:lang w:val="en-US"/>
              </w:rPr>
            </w:pPr>
            <w:r w:rsidRPr="00BA5143">
              <w:rPr>
                <w:lang w:val="en-US"/>
              </w:rPr>
              <w:t>Basis</w:t>
            </w:r>
            <w:r w:rsidR="00EB3FC8" w:rsidRPr="00BA5143">
              <w:rPr>
                <w:lang w:val="en-US"/>
              </w:rPr>
              <w:t xml:space="preserve"> of presentation of financial statements</w:t>
            </w:r>
          </w:p>
        </w:tc>
        <w:tc>
          <w:tcPr>
            <w:tcW w:w="700" w:type="dxa"/>
          </w:tcPr>
          <w:p w:rsidR="00E70A77" w:rsidRPr="00BA5143" w:rsidRDefault="00E70A77" w:rsidP="00FA5F18">
            <w:pPr>
              <w:spacing w:line="220" w:lineRule="exact"/>
              <w:rPr>
                <w:lang w:val="en-US"/>
              </w:rPr>
            </w:pPr>
          </w:p>
        </w:tc>
        <w:tc>
          <w:tcPr>
            <w:tcW w:w="754" w:type="dxa"/>
          </w:tcPr>
          <w:p w:rsidR="00E70A77" w:rsidRPr="00BA5143" w:rsidRDefault="00E70A77" w:rsidP="00FA5F18">
            <w:pPr>
              <w:spacing w:line="220" w:lineRule="exact"/>
              <w:rPr>
                <w:lang w:val="en-US"/>
              </w:rPr>
            </w:pPr>
            <w:r w:rsidRPr="00BA5143">
              <w:rPr>
                <w:lang w:val="en-US"/>
              </w:rPr>
              <w:t>1</w:t>
            </w:r>
            <w:r w:rsidR="002411E0" w:rsidRPr="00BA5143">
              <w:rPr>
                <w:lang w:val="en-US"/>
              </w:rPr>
              <w:t>0</w:t>
            </w: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r w:rsidRPr="00BA5143">
              <w:rPr>
                <w:lang w:val="en-US"/>
              </w:rPr>
              <w:t>4.</w:t>
            </w:r>
          </w:p>
        </w:tc>
        <w:tc>
          <w:tcPr>
            <w:tcW w:w="7087" w:type="dxa"/>
          </w:tcPr>
          <w:p w:rsidR="00E70A77" w:rsidRPr="00BA5143" w:rsidRDefault="00EB3FC8" w:rsidP="004074A0">
            <w:pPr>
              <w:spacing w:after="120" w:line="220" w:lineRule="exact"/>
              <w:rPr>
                <w:lang w:val="en-US"/>
              </w:rPr>
            </w:pPr>
            <w:r w:rsidRPr="00BA5143">
              <w:rPr>
                <w:lang w:val="en-US"/>
              </w:rPr>
              <w:t xml:space="preserve">Principles of </w:t>
            </w:r>
            <w:r w:rsidR="003E1F65" w:rsidRPr="00BA5143">
              <w:rPr>
                <w:lang w:val="en-US"/>
              </w:rPr>
              <w:t>accounting</w:t>
            </w:r>
            <w:r w:rsidRPr="00BA5143">
              <w:rPr>
                <w:lang w:val="en-US"/>
              </w:rPr>
              <w:t xml:space="preserve"> policy</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70A77" w:rsidP="001106DD">
            <w:pPr>
              <w:spacing w:after="120" w:line="220" w:lineRule="exact"/>
              <w:rPr>
                <w:lang w:val="en-US"/>
              </w:rPr>
            </w:pPr>
            <w:r w:rsidRPr="00BA5143">
              <w:rPr>
                <w:lang w:val="en-US"/>
              </w:rPr>
              <w:t>1</w:t>
            </w:r>
            <w:r w:rsidR="00A61927" w:rsidRPr="00BA5143">
              <w:rPr>
                <w:lang w:val="en-US"/>
              </w:rPr>
              <w:t>1</w:t>
            </w: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r w:rsidRPr="00BA5143">
              <w:rPr>
                <w:lang w:val="en-US"/>
              </w:rPr>
              <w:t>5.</w:t>
            </w:r>
          </w:p>
        </w:tc>
        <w:tc>
          <w:tcPr>
            <w:tcW w:w="7087" w:type="dxa"/>
          </w:tcPr>
          <w:p w:rsidR="00E70A77" w:rsidRPr="00BA5143" w:rsidRDefault="00EB3FC8" w:rsidP="004074A0">
            <w:pPr>
              <w:spacing w:after="120" w:line="220" w:lineRule="exact"/>
              <w:rPr>
                <w:lang w:val="en-US"/>
              </w:rPr>
            </w:pPr>
            <w:r w:rsidRPr="00BA5143">
              <w:rPr>
                <w:lang w:val="en-US"/>
              </w:rPr>
              <w:t xml:space="preserve">New and revised </w:t>
            </w:r>
            <w:r w:rsidR="003E1F65" w:rsidRPr="00BA5143">
              <w:rPr>
                <w:lang w:val="en-US"/>
              </w:rPr>
              <w:t>standards</w:t>
            </w:r>
            <w:r w:rsidRPr="00BA5143">
              <w:rPr>
                <w:lang w:val="en-US"/>
              </w:rPr>
              <w:t xml:space="preserve"> that have not entered into force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D8464B" w:rsidP="00531CA9">
            <w:pPr>
              <w:spacing w:after="120" w:line="220" w:lineRule="exact"/>
              <w:rPr>
                <w:lang w:val="en-US"/>
              </w:rPr>
            </w:pPr>
            <w:r w:rsidRPr="00BA5143">
              <w:rPr>
                <w:lang w:val="en-US"/>
              </w:rPr>
              <w:t>3</w:t>
            </w:r>
            <w:r w:rsidR="00EB3FC8" w:rsidRPr="00BA5143">
              <w:rPr>
                <w:lang w:val="en-US"/>
              </w:rPr>
              <w:t>5</w:t>
            </w:r>
          </w:p>
        </w:tc>
      </w:tr>
      <w:tr w:rsidR="00E70A77" w:rsidRPr="00BA5143" w:rsidTr="00D8464B">
        <w:trPr>
          <w:trHeight w:hRule="exact" w:val="227"/>
        </w:trPr>
        <w:tc>
          <w:tcPr>
            <w:tcW w:w="567" w:type="dxa"/>
          </w:tcPr>
          <w:p w:rsidR="00E70A77" w:rsidRPr="00BA5143" w:rsidRDefault="00E70A77" w:rsidP="004074A0">
            <w:pPr>
              <w:spacing w:after="120" w:line="220" w:lineRule="exact"/>
              <w:rPr>
                <w:lang w:val="en-US"/>
              </w:rPr>
            </w:pPr>
            <w:r w:rsidRPr="00BA5143">
              <w:rPr>
                <w:lang w:val="en-US"/>
              </w:rPr>
              <w:t>6.</w:t>
            </w:r>
          </w:p>
        </w:tc>
        <w:tc>
          <w:tcPr>
            <w:tcW w:w="7087" w:type="dxa"/>
          </w:tcPr>
          <w:p w:rsidR="00E70A77" w:rsidRPr="00BA5143" w:rsidRDefault="00EB3FC8" w:rsidP="004074A0">
            <w:pPr>
              <w:spacing w:after="120" w:line="220" w:lineRule="exact"/>
              <w:rPr>
                <w:lang w:val="en-US"/>
              </w:rPr>
            </w:pPr>
            <w:r w:rsidRPr="00BA5143">
              <w:rPr>
                <w:lang w:val="en-US"/>
              </w:rPr>
              <w:t>Cash and cash equivalents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9C790D">
            <w:pPr>
              <w:spacing w:after="120" w:line="220" w:lineRule="exact"/>
              <w:rPr>
                <w:lang w:val="en-US"/>
              </w:rPr>
            </w:pPr>
            <w:r w:rsidRPr="00BA5143">
              <w:rPr>
                <w:lang w:val="en-US"/>
              </w:rPr>
              <w:t>37</w:t>
            </w:r>
          </w:p>
        </w:tc>
      </w:tr>
      <w:tr w:rsidR="00E50A39" w:rsidRPr="00BA5143" w:rsidTr="00D8464B">
        <w:trPr>
          <w:trHeight w:hRule="exact" w:val="227"/>
        </w:trPr>
        <w:tc>
          <w:tcPr>
            <w:tcW w:w="567" w:type="dxa"/>
          </w:tcPr>
          <w:p w:rsidR="00E50A39" w:rsidRPr="00BA5143" w:rsidRDefault="00162571" w:rsidP="00BE79C8">
            <w:pPr>
              <w:spacing w:after="120" w:line="220" w:lineRule="exact"/>
              <w:rPr>
                <w:lang w:val="en-US"/>
              </w:rPr>
            </w:pPr>
            <w:r w:rsidRPr="00BA5143">
              <w:rPr>
                <w:lang w:val="en-US"/>
              </w:rPr>
              <w:t>7</w:t>
            </w:r>
            <w:r w:rsidR="00E22681" w:rsidRPr="00BA5143">
              <w:rPr>
                <w:lang w:val="en-US"/>
              </w:rPr>
              <w:t>.</w:t>
            </w:r>
          </w:p>
        </w:tc>
        <w:tc>
          <w:tcPr>
            <w:tcW w:w="7087" w:type="dxa"/>
          </w:tcPr>
          <w:p w:rsidR="00E50A39" w:rsidRPr="00BA5143" w:rsidRDefault="00EB3FC8" w:rsidP="002411E0">
            <w:pPr>
              <w:spacing w:after="120" w:line="220" w:lineRule="exact"/>
              <w:rPr>
                <w:lang w:val="en-US"/>
              </w:rPr>
            </w:pPr>
            <w:r w:rsidRPr="00BA5143">
              <w:rPr>
                <w:lang w:val="en-US"/>
              </w:rPr>
              <w:t>Investments in securities</w:t>
            </w:r>
          </w:p>
        </w:tc>
        <w:tc>
          <w:tcPr>
            <w:tcW w:w="700" w:type="dxa"/>
          </w:tcPr>
          <w:p w:rsidR="00E50A39" w:rsidRPr="00BA5143" w:rsidRDefault="00E50A39" w:rsidP="004074A0">
            <w:pPr>
              <w:spacing w:after="120" w:line="220" w:lineRule="exact"/>
              <w:rPr>
                <w:lang w:val="en-US"/>
              </w:rPr>
            </w:pPr>
          </w:p>
        </w:tc>
        <w:tc>
          <w:tcPr>
            <w:tcW w:w="754" w:type="dxa"/>
          </w:tcPr>
          <w:p w:rsidR="00E50A39" w:rsidRPr="00BA5143" w:rsidRDefault="00EB3FC8" w:rsidP="00162571">
            <w:pPr>
              <w:spacing w:after="120" w:line="220" w:lineRule="exact"/>
              <w:rPr>
                <w:lang w:val="en-US"/>
              </w:rPr>
            </w:pPr>
            <w:r w:rsidRPr="00BA5143">
              <w:rPr>
                <w:lang w:val="en-US"/>
              </w:rPr>
              <w:t>37</w:t>
            </w:r>
          </w:p>
        </w:tc>
      </w:tr>
      <w:tr w:rsidR="00E70A77" w:rsidRPr="00BA5143" w:rsidTr="00D8464B">
        <w:trPr>
          <w:trHeight w:hRule="exact" w:val="227"/>
        </w:trPr>
        <w:tc>
          <w:tcPr>
            <w:tcW w:w="567" w:type="dxa"/>
          </w:tcPr>
          <w:p w:rsidR="00E70A77" w:rsidRPr="00BA5143" w:rsidRDefault="00F16C68" w:rsidP="00781FA9">
            <w:pPr>
              <w:spacing w:after="120" w:line="220" w:lineRule="exact"/>
              <w:rPr>
                <w:lang w:val="en-US"/>
              </w:rPr>
            </w:pPr>
            <w:r w:rsidRPr="00BA5143">
              <w:rPr>
                <w:lang w:val="en-US"/>
              </w:rPr>
              <w:t>8</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Investment property</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531CA9">
            <w:pPr>
              <w:spacing w:after="120" w:line="220" w:lineRule="exact"/>
              <w:rPr>
                <w:lang w:val="en-US"/>
              </w:rPr>
            </w:pPr>
            <w:r w:rsidRPr="00BA5143">
              <w:rPr>
                <w:lang w:val="en-US"/>
              </w:rPr>
              <w:t>39</w:t>
            </w:r>
          </w:p>
        </w:tc>
      </w:tr>
      <w:tr w:rsidR="00E70A77" w:rsidRPr="00BA5143" w:rsidTr="00D8464B">
        <w:trPr>
          <w:trHeight w:hRule="exact" w:val="227"/>
        </w:trPr>
        <w:tc>
          <w:tcPr>
            <w:tcW w:w="567" w:type="dxa"/>
          </w:tcPr>
          <w:p w:rsidR="00E70A77" w:rsidRPr="00BA5143" w:rsidRDefault="00F16C68" w:rsidP="00781FA9">
            <w:pPr>
              <w:spacing w:after="120" w:line="220" w:lineRule="exact"/>
              <w:rPr>
                <w:lang w:val="en-US"/>
              </w:rPr>
            </w:pPr>
            <w:r w:rsidRPr="00BA5143">
              <w:rPr>
                <w:lang w:val="en-US"/>
              </w:rPr>
              <w:t>9</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Fixed assets and intangible assets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4074A0">
            <w:pPr>
              <w:spacing w:after="120" w:line="220" w:lineRule="exact"/>
              <w:rPr>
                <w:lang w:val="en-US"/>
              </w:rPr>
            </w:pPr>
            <w:r w:rsidRPr="00BA5143">
              <w:rPr>
                <w:lang w:val="en-US"/>
              </w:rPr>
              <w:t>40</w:t>
            </w:r>
          </w:p>
          <w:p w:rsidR="00162571" w:rsidRPr="00BA5143" w:rsidRDefault="00162571" w:rsidP="004074A0">
            <w:pPr>
              <w:spacing w:after="120" w:line="220" w:lineRule="exact"/>
              <w:rPr>
                <w:lang w:val="en-US"/>
              </w:rPr>
            </w:pPr>
          </w:p>
        </w:tc>
      </w:tr>
      <w:tr w:rsidR="00E70A77" w:rsidRPr="00BA5143" w:rsidTr="00D8464B">
        <w:trPr>
          <w:trHeight w:hRule="exact" w:val="227"/>
        </w:trPr>
        <w:tc>
          <w:tcPr>
            <w:tcW w:w="567" w:type="dxa"/>
          </w:tcPr>
          <w:p w:rsidR="00E70A77" w:rsidRPr="00BA5143" w:rsidRDefault="00E70A77" w:rsidP="00D8464B">
            <w:pPr>
              <w:spacing w:after="120" w:line="220" w:lineRule="exact"/>
              <w:rPr>
                <w:lang w:val="en-US"/>
              </w:rPr>
            </w:pPr>
            <w:r w:rsidRPr="00BA5143">
              <w:rPr>
                <w:lang w:val="en-US"/>
              </w:rPr>
              <w:t>1</w:t>
            </w:r>
            <w:r w:rsidR="00D8464B" w:rsidRPr="00BA5143">
              <w:rPr>
                <w:lang w:val="en-US"/>
              </w:rPr>
              <w:t>0</w:t>
            </w:r>
            <w:r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Other assets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D8464B" w:rsidP="00531CA9">
            <w:pPr>
              <w:spacing w:after="120" w:line="220" w:lineRule="exact"/>
              <w:rPr>
                <w:lang w:val="en-US"/>
              </w:rPr>
            </w:pPr>
            <w:r w:rsidRPr="00BA5143">
              <w:rPr>
                <w:lang w:val="en-US"/>
              </w:rPr>
              <w:t>4</w:t>
            </w:r>
            <w:r w:rsidR="00EB3FC8" w:rsidRPr="00BA5143">
              <w:rPr>
                <w:lang w:val="en-US"/>
              </w:rPr>
              <w:t>1</w:t>
            </w:r>
          </w:p>
        </w:tc>
      </w:tr>
      <w:tr w:rsidR="00E70A77" w:rsidRPr="00BA5143" w:rsidTr="00D8464B">
        <w:trPr>
          <w:trHeight w:hRule="exact" w:val="227"/>
        </w:trPr>
        <w:tc>
          <w:tcPr>
            <w:tcW w:w="567" w:type="dxa"/>
          </w:tcPr>
          <w:p w:rsidR="00E70A77" w:rsidRPr="00BA5143" w:rsidRDefault="009A2B3C" w:rsidP="00884E44">
            <w:pPr>
              <w:spacing w:after="120" w:line="220" w:lineRule="exact"/>
              <w:rPr>
                <w:lang w:val="en-US"/>
              </w:rPr>
            </w:pPr>
            <w:r w:rsidRPr="00BA5143">
              <w:rPr>
                <w:lang w:val="en-US"/>
              </w:rPr>
              <w:t>1</w:t>
            </w:r>
            <w:r w:rsidR="00884E44" w:rsidRPr="00BA5143">
              <w:rPr>
                <w:lang w:val="en-US"/>
              </w:rPr>
              <w:t>1</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Customer funds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2411E0" w:rsidP="00AB54A6">
            <w:pPr>
              <w:spacing w:after="120" w:line="220" w:lineRule="exact"/>
              <w:rPr>
                <w:lang w:val="en-US"/>
              </w:rPr>
            </w:pPr>
            <w:r w:rsidRPr="00BA5143">
              <w:rPr>
                <w:lang w:val="en-US"/>
              </w:rPr>
              <w:t>4</w:t>
            </w:r>
            <w:r w:rsidR="00EB3FC8" w:rsidRPr="00BA5143">
              <w:rPr>
                <w:lang w:val="en-US"/>
              </w:rPr>
              <w:t>1</w:t>
            </w:r>
          </w:p>
        </w:tc>
      </w:tr>
      <w:tr w:rsidR="00E70A77" w:rsidRPr="00BA5143" w:rsidTr="00D8464B">
        <w:trPr>
          <w:trHeight w:hRule="exact" w:val="227"/>
        </w:trPr>
        <w:tc>
          <w:tcPr>
            <w:tcW w:w="567" w:type="dxa"/>
          </w:tcPr>
          <w:p w:rsidR="00E70A77" w:rsidRPr="00BA5143" w:rsidRDefault="006E61D0" w:rsidP="00884E44">
            <w:pPr>
              <w:spacing w:after="120" w:line="220" w:lineRule="exact"/>
              <w:rPr>
                <w:lang w:val="en-US"/>
              </w:rPr>
            </w:pPr>
            <w:r w:rsidRPr="00BA5143">
              <w:rPr>
                <w:lang w:val="en-US"/>
              </w:rPr>
              <w:t>1</w:t>
            </w:r>
            <w:r w:rsidR="00884E44" w:rsidRPr="00BA5143">
              <w:rPr>
                <w:lang w:val="en-US"/>
              </w:rPr>
              <w:t>2</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Provision for liabilities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531CA9">
            <w:pPr>
              <w:spacing w:after="120" w:line="220" w:lineRule="exact"/>
              <w:rPr>
                <w:lang w:val="en-US"/>
              </w:rPr>
            </w:pPr>
            <w:r w:rsidRPr="00BA5143">
              <w:rPr>
                <w:lang w:val="en-US"/>
              </w:rPr>
              <w:t>42</w:t>
            </w:r>
          </w:p>
        </w:tc>
      </w:tr>
      <w:tr w:rsidR="00E70A77" w:rsidRPr="00BA5143" w:rsidTr="00D8464B">
        <w:trPr>
          <w:trHeight w:hRule="exact" w:val="227"/>
        </w:trPr>
        <w:tc>
          <w:tcPr>
            <w:tcW w:w="567" w:type="dxa"/>
          </w:tcPr>
          <w:p w:rsidR="00E70A77" w:rsidRPr="00BA5143" w:rsidRDefault="00395E4C" w:rsidP="00F16C68">
            <w:pPr>
              <w:spacing w:after="120" w:line="220" w:lineRule="exact"/>
              <w:rPr>
                <w:lang w:val="en-US"/>
              </w:rPr>
            </w:pPr>
            <w:r w:rsidRPr="00BA5143">
              <w:rPr>
                <w:lang w:val="en-US"/>
              </w:rPr>
              <w:t>1</w:t>
            </w:r>
            <w:r w:rsidR="00884E44" w:rsidRPr="00BA5143">
              <w:rPr>
                <w:lang w:val="en-US"/>
              </w:rPr>
              <w:t>3</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Other liabilities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0F7B70">
            <w:pPr>
              <w:spacing w:after="120" w:line="220" w:lineRule="exact"/>
              <w:rPr>
                <w:lang w:val="en-US"/>
              </w:rPr>
            </w:pPr>
            <w:r w:rsidRPr="00BA5143">
              <w:rPr>
                <w:lang w:val="en-US"/>
              </w:rPr>
              <w:t>42</w:t>
            </w:r>
          </w:p>
        </w:tc>
      </w:tr>
      <w:tr w:rsidR="00E70A77" w:rsidRPr="00BA5143" w:rsidTr="00D8464B">
        <w:trPr>
          <w:trHeight w:hRule="exact" w:val="227"/>
        </w:trPr>
        <w:tc>
          <w:tcPr>
            <w:tcW w:w="567" w:type="dxa"/>
          </w:tcPr>
          <w:p w:rsidR="00E70A77" w:rsidRPr="00BA5143" w:rsidRDefault="00395E4C" w:rsidP="00F16C68">
            <w:pPr>
              <w:spacing w:after="120" w:line="220" w:lineRule="exact"/>
              <w:rPr>
                <w:lang w:val="en-US"/>
              </w:rPr>
            </w:pPr>
            <w:r w:rsidRPr="00BA5143">
              <w:rPr>
                <w:lang w:val="en-US"/>
              </w:rPr>
              <w:t>1</w:t>
            </w:r>
            <w:r w:rsidR="00884E44" w:rsidRPr="00BA5143">
              <w:rPr>
                <w:lang w:val="en-US"/>
              </w:rPr>
              <w:t>4</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Subordinated debt</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EB3FC8" w:rsidP="00395E4C">
            <w:pPr>
              <w:spacing w:after="120" w:line="220" w:lineRule="exact"/>
              <w:rPr>
                <w:lang w:val="en-US"/>
              </w:rPr>
            </w:pPr>
            <w:r w:rsidRPr="00BA5143">
              <w:rPr>
                <w:lang w:val="en-US"/>
              </w:rPr>
              <w:t>42</w:t>
            </w:r>
          </w:p>
        </w:tc>
      </w:tr>
      <w:tr w:rsidR="00E70A77" w:rsidRPr="00BA5143" w:rsidTr="00D8464B">
        <w:trPr>
          <w:trHeight w:hRule="exact" w:val="227"/>
        </w:trPr>
        <w:tc>
          <w:tcPr>
            <w:tcW w:w="567" w:type="dxa"/>
          </w:tcPr>
          <w:p w:rsidR="00E70A77" w:rsidRPr="00BA5143" w:rsidRDefault="00F16C68" w:rsidP="00884E44">
            <w:pPr>
              <w:spacing w:after="120" w:line="220" w:lineRule="exact"/>
              <w:rPr>
                <w:lang w:val="en-US"/>
              </w:rPr>
            </w:pPr>
            <w:r w:rsidRPr="00BA5143">
              <w:rPr>
                <w:lang w:val="en-US"/>
              </w:rPr>
              <w:t>1</w:t>
            </w:r>
            <w:r w:rsidR="00884E44" w:rsidRPr="00BA5143">
              <w:rPr>
                <w:lang w:val="en-US"/>
              </w:rPr>
              <w:t>5</w:t>
            </w:r>
            <w:r w:rsidR="00E70A77" w:rsidRPr="00BA5143">
              <w:rPr>
                <w:lang w:val="en-US"/>
              </w:rPr>
              <w:t>.</w:t>
            </w:r>
          </w:p>
        </w:tc>
        <w:tc>
          <w:tcPr>
            <w:tcW w:w="7087" w:type="dxa"/>
          </w:tcPr>
          <w:p w:rsidR="00E70A77" w:rsidRPr="00BA5143" w:rsidRDefault="00EB3FC8" w:rsidP="004074A0">
            <w:pPr>
              <w:spacing w:after="120" w:line="220" w:lineRule="exact"/>
              <w:rPr>
                <w:lang w:val="en-US"/>
              </w:rPr>
            </w:pPr>
            <w:r w:rsidRPr="00BA5143">
              <w:rPr>
                <w:lang w:val="en-US"/>
              </w:rPr>
              <w:t xml:space="preserve">Share capital and </w:t>
            </w:r>
            <w:r w:rsidR="003E1F65" w:rsidRPr="00BA5143">
              <w:rPr>
                <w:lang w:val="en-US"/>
              </w:rPr>
              <w:t>residential</w:t>
            </w:r>
            <w:r w:rsidRPr="00BA5143">
              <w:rPr>
                <w:lang w:val="en-US"/>
              </w:rPr>
              <w:t xml:space="preserve"> differences</w:t>
            </w:r>
            <w:r w:rsidR="00E70A77" w:rsidRPr="00BA5143">
              <w:rPr>
                <w:lang w:val="en-US"/>
              </w:rPr>
              <w:t xml:space="preserve"> (</w:t>
            </w:r>
            <w:r w:rsidR="00EA445D" w:rsidRPr="00BA5143">
              <w:rPr>
                <w:lang w:val="en-US"/>
              </w:rPr>
              <w:t>emission income</w:t>
            </w:r>
            <w:r w:rsidR="00E70A77" w:rsidRPr="00BA5143">
              <w:rPr>
                <w:lang w:val="en-US"/>
              </w:rPr>
              <w:t>)</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884E44" w:rsidP="00531CA9">
            <w:pPr>
              <w:spacing w:after="120" w:line="220" w:lineRule="exact"/>
              <w:rPr>
                <w:lang w:val="en-US"/>
              </w:rPr>
            </w:pPr>
            <w:r w:rsidRPr="00BA5143">
              <w:rPr>
                <w:lang w:val="en-US"/>
              </w:rPr>
              <w:t>4</w:t>
            </w:r>
            <w:r w:rsidR="00EA445D" w:rsidRPr="00BA5143">
              <w:rPr>
                <w:lang w:val="en-US"/>
              </w:rPr>
              <w:t>3</w:t>
            </w:r>
          </w:p>
        </w:tc>
      </w:tr>
      <w:tr w:rsidR="00E22681" w:rsidRPr="00BA5143" w:rsidTr="00D8464B">
        <w:trPr>
          <w:trHeight w:hRule="exact" w:val="227"/>
        </w:trPr>
        <w:tc>
          <w:tcPr>
            <w:tcW w:w="567" w:type="dxa"/>
          </w:tcPr>
          <w:p w:rsidR="00E22681" w:rsidRPr="00BA5143" w:rsidRDefault="00F16C68" w:rsidP="00884E44">
            <w:pPr>
              <w:spacing w:after="120" w:line="220" w:lineRule="exact"/>
              <w:rPr>
                <w:lang w:val="en-US"/>
              </w:rPr>
            </w:pPr>
            <w:r w:rsidRPr="00BA5143">
              <w:rPr>
                <w:lang w:val="en-US"/>
              </w:rPr>
              <w:t>1</w:t>
            </w:r>
            <w:r w:rsidR="00884E44" w:rsidRPr="00BA5143">
              <w:rPr>
                <w:lang w:val="en-US"/>
              </w:rPr>
              <w:t>6</w:t>
            </w:r>
          </w:p>
        </w:tc>
        <w:tc>
          <w:tcPr>
            <w:tcW w:w="7087" w:type="dxa"/>
          </w:tcPr>
          <w:p w:rsidR="00E22681" w:rsidRPr="00BA5143" w:rsidRDefault="00EA445D" w:rsidP="004074A0">
            <w:pPr>
              <w:spacing w:after="120" w:line="220" w:lineRule="exact"/>
              <w:rPr>
                <w:lang w:val="en-US"/>
              </w:rPr>
            </w:pPr>
            <w:r w:rsidRPr="00BA5143">
              <w:rPr>
                <w:lang w:val="en-US"/>
              </w:rPr>
              <w:t>Movement revaluation reserve</w:t>
            </w:r>
          </w:p>
        </w:tc>
        <w:tc>
          <w:tcPr>
            <w:tcW w:w="700" w:type="dxa"/>
          </w:tcPr>
          <w:p w:rsidR="00E22681" w:rsidRPr="00BA5143" w:rsidRDefault="00E22681" w:rsidP="004074A0">
            <w:pPr>
              <w:spacing w:after="120" w:line="220" w:lineRule="exact"/>
              <w:rPr>
                <w:lang w:val="en-US"/>
              </w:rPr>
            </w:pPr>
          </w:p>
        </w:tc>
        <w:tc>
          <w:tcPr>
            <w:tcW w:w="754" w:type="dxa"/>
          </w:tcPr>
          <w:p w:rsidR="00E22681" w:rsidRPr="00BA5143" w:rsidRDefault="00884E44" w:rsidP="00A4626C">
            <w:pPr>
              <w:spacing w:after="120" w:line="220" w:lineRule="exact"/>
              <w:rPr>
                <w:lang w:val="en-US"/>
              </w:rPr>
            </w:pPr>
            <w:r w:rsidRPr="00BA5143">
              <w:rPr>
                <w:lang w:val="en-US"/>
              </w:rPr>
              <w:t>4</w:t>
            </w:r>
            <w:r w:rsidR="00EA445D" w:rsidRPr="00BA5143">
              <w:rPr>
                <w:lang w:val="en-US"/>
              </w:rPr>
              <w:t>3</w:t>
            </w:r>
          </w:p>
        </w:tc>
      </w:tr>
      <w:tr w:rsidR="00E70A77" w:rsidRPr="00BA5143" w:rsidTr="00D8464B">
        <w:trPr>
          <w:trHeight w:hRule="exact" w:val="227"/>
        </w:trPr>
        <w:tc>
          <w:tcPr>
            <w:tcW w:w="567" w:type="dxa"/>
          </w:tcPr>
          <w:p w:rsidR="00E70A77" w:rsidRPr="00BA5143" w:rsidRDefault="00F16C68" w:rsidP="00884E44">
            <w:pPr>
              <w:spacing w:after="120" w:line="220" w:lineRule="exact"/>
              <w:rPr>
                <w:lang w:val="en-US"/>
              </w:rPr>
            </w:pPr>
            <w:r w:rsidRPr="00BA5143">
              <w:rPr>
                <w:lang w:val="en-US"/>
              </w:rPr>
              <w:t>1</w:t>
            </w:r>
            <w:r w:rsidR="00884E44" w:rsidRPr="00BA5143">
              <w:rPr>
                <w:lang w:val="en-US"/>
              </w:rPr>
              <w:t>7</w:t>
            </w:r>
            <w:r w:rsidR="00E70A77" w:rsidRPr="00BA5143">
              <w:rPr>
                <w:lang w:val="en-US"/>
              </w:rPr>
              <w:t>.</w:t>
            </w:r>
          </w:p>
        </w:tc>
        <w:tc>
          <w:tcPr>
            <w:tcW w:w="7087" w:type="dxa"/>
          </w:tcPr>
          <w:p w:rsidR="00E70A77" w:rsidRPr="00BA5143" w:rsidRDefault="00EA445D" w:rsidP="004074A0">
            <w:pPr>
              <w:spacing w:after="120" w:line="220" w:lineRule="exact"/>
              <w:rPr>
                <w:lang w:val="en-US"/>
              </w:rPr>
            </w:pPr>
            <w:r w:rsidRPr="00BA5143">
              <w:rPr>
                <w:lang w:val="en-US"/>
              </w:rPr>
              <w:t xml:space="preserve">Analysis of </w:t>
            </w:r>
            <w:r w:rsidR="003E1F65" w:rsidRPr="00BA5143">
              <w:rPr>
                <w:lang w:val="en-US"/>
              </w:rPr>
              <w:t>assets and</w:t>
            </w:r>
            <w:r w:rsidRPr="00BA5143">
              <w:rPr>
                <w:lang w:val="en-US"/>
              </w:rPr>
              <w:t xml:space="preserve"> liabilities by their proceedings</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7A73F2" w:rsidP="00A4626C">
            <w:pPr>
              <w:spacing w:after="120" w:line="220" w:lineRule="exact"/>
              <w:rPr>
                <w:lang w:val="en-US"/>
              </w:rPr>
            </w:pPr>
            <w:r w:rsidRPr="00BA5143">
              <w:rPr>
                <w:lang w:val="en-US"/>
              </w:rPr>
              <w:t>4</w:t>
            </w:r>
            <w:r w:rsidR="00EA445D" w:rsidRPr="00BA5143">
              <w:rPr>
                <w:lang w:val="en-US"/>
              </w:rPr>
              <w:t>3</w:t>
            </w:r>
          </w:p>
        </w:tc>
      </w:tr>
      <w:tr w:rsidR="00E70A77" w:rsidRPr="00BA5143" w:rsidTr="00D8464B">
        <w:trPr>
          <w:trHeight w:hRule="exact" w:val="227"/>
        </w:trPr>
        <w:tc>
          <w:tcPr>
            <w:tcW w:w="567" w:type="dxa"/>
          </w:tcPr>
          <w:p w:rsidR="00E70A77" w:rsidRPr="00BA5143" w:rsidRDefault="001B73D3" w:rsidP="004074A0">
            <w:pPr>
              <w:spacing w:after="120" w:line="220" w:lineRule="exact"/>
              <w:rPr>
                <w:lang w:val="en-US"/>
              </w:rPr>
            </w:pPr>
            <w:r w:rsidRPr="00BA5143">
              <w:rPr>
                <w:lang w:val="en-US"/>
              </w:rPr>
              <w:t>18</w:t>
            </w:r>
            <w:r w:rsidR="00E70A77" w:rsidRPr="00BA5143">
              <w:rPr>
                <w:lang w:val="en-US"/>
              </w:rPr>
              <w:t>.</w:t>
            </w:r>
          </w:p>
        </w:tc>
        <w:tc>
          <w:tcPr>
            <w:tcW w:w="7087" w:type="dxa"/>
          </w:tcPr>
          <w:p w:rsidR="00E70A77" w:rsidRPr="00BA5143" w:rsidRDefault="00EA445D" w:rsidP="004074A0">
            <w:pPr>
              <w:spacing w:after="120" w:line="220" w:lineRule="exact"/>
              <w:rPr>
                <w:lang w:val="en-US"/>
              </w:rPr>
            </w:pPr>
            <w:r w:rsidRPr="00BA5143">
              <w:rPr>
                <w:lang w:val="en-US"/>
              </w:rPr>
              <w:t>Interest income and expense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1B73D3" w:rsidP="00531CA9">
            <w:pPr>
              <w:spacing w:after="120" w:line="220" w:lineRule="exact"/>
              <w:rPr>
                <w:lang w:val="en-US"/>
              </w:rPr>
            </w:pPr>
            <w:r w:rsidRPr="00BA5143">
              <w:rPr>
                <w:lang w:val="en-US"/>
              </w:rPr>
              <w:t>4</w:t>
            </w:r>
            <w:r w:rsidR="00EA445D" w:rsidRPr="00BA5143">
              <w:rPr>
                <w:lang w:val="en-US"/>
              </w:rPr>
              <w:t>4</w:t>
            </w:r>
          </w:p>
        </w:tc>
      </w:tr>
      <w:tr w:rsidR="00E70A77" w:rsidRPr="00BA5143" w:rsidTr="00D8464B">
        <w:trPr>
          <w:trHeight w:hRule="exact" w:val="227"/>
        </w:trPr>
        <w:tc>
          <w:tcPr>
            <w:tcW w:w="567" w:type="dxa"/>
          </w:tcPr>
          <w:p w:rsidR="00E70A77" w:rsidRPr="00BA5143" w:rsidRDefault="001B73D3" w:rsidP="004074A0">
            <w:pPr>
              <w:spacing w:after="120" w:line="220" w:lineRule="exact"/>
              <w:rPr>
                <w:lang w:val="en-US"/>
              </w:rPr>
            </w:pPr>
            <w:r w:rsidRPr="00BA5143">
              <w:rPr>
                <w:lang w:val="en-US"/>
              </w:rPr>
              <w:t>19</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Commission</w:t>
            </w:r>
            <w:r w:rsidR="00EA445D" w:rsidRPr="00BA5143">
              <w:rPr>
                <w:lang w:val="en-US"/>
              </w:rPr>
              <w:t xml:space="preserve"> income and expense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1B73D3" w:rsidP="00E06112">
            <w:pPr>
              <w:spacing w:after="120" w:line="220" w:lineRule="exact"/>
              <w:rPr>
                <w:lang w:val="en-US"/>
              </w:rPr>
            </w:pPr>
            <w:r w:rsidRPr="00BA5143">
              <w:rPr>
                <w:lang w:val="en-US"/>
              </w:rPr>
              <w:t>4</w:t>
            </w:r>
            <w:r w:rsidR="00EA445D" w:rsidRPr="00BA5143">
              <w:rPr>
                <w:lang w:val="en-US"/>
              </w:rPr>
              <w:t>4</w:t>
            </w:r>
          </w:p>
        </w:tc>
      </w:tr>
      <w:tr w:rsidR="00E70A77" w:rsidRPr="00BA5143" w:rsidTr="00D8464B">
        <w:trPr>
          <w:trHeight w:hRule="exact" w:val="227"/>
        </w:trPr>
        <w:tc>
          <w:tcPr>
            <w:tcW w:w="567" w:type="dxa"/>
          </w:tcPr>
          <w:p w:rsidR="00E70A77" w:rsidRPr="00BA5143" w:rsidRDefault="001B73D3" w:rsidP="004074A0">
            <w:pPr>
              <w:spacing w:after="120" w:line="220" w:lineRule="exact"/>
              <w:rPr>
                <w:lang w:val="en-US"/>
              </w:rPr>
            </w:pPr>
            <w:r w:rsidRPr="00BA5143">
              <w:rPr>
                <w:lang w:val="en-US"/>
              </w:rPr>
              <w:t>20</w:t>
            </w:r>
            <w:r w:rsidR="00E70A77" w:rsidRPr="00BA5143">
              <w:rPr>
                <w:lang w:val="en-US"/>
              </w:rPr>
              <w:t>.</w:t>
            </w:r>
          </w:p>
        </w:tc>
        <w:tc>
          <w:tcPr>
            <w:tcW w:w="7087" w:type="dxa"/>
          </w:tcPr>
          <w:p w:rsidR="00E70A77" w:rsidRPr="00BA5143" w:rsidRDefault="00EA445D" w:rsidP="004074A0">
            <w:pPr>
              <w:spacing w:after="120" w:line="220" w:lineRule="exact"/>
              <w:rPr>
                <w:lang w:val="en-US"/>
              </w:rPr>
            </w:pPr>
            <w:r w:rsidRPr="00BA5143">
              <w:rPr>
                <w:lang w:val="en-US"/>
              </w:rPr>
              <w:t>Other operating income</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1B73D3" w:rsidP="00672A09">
            <w:pPr>
              <w:spacing w:after="120" w:line="220" w:lineRule="exact"/>
              <w:rPr>
                <w:lang w:val="uk-UA"/>
              </w:rPr>
            </w:pPr>
            <w:r w:rsidRPr="00BA5143">
              <w:rPr>
                <w:lang w:val="en-US"/>
              </w:rPr>
              <w:t>4</w:t>
            </w:r>
            <w:r w:rsidR="00445488">
              <w:rPr>
                <w:lang w:val="uk-UA"/>
              </w:rPr>
              <w:t>5</w:t>
            </w:r>
          </w:p>
        </w:tc>
      </w:tr>
      <w:tr w:rsidR="00E70A77" w:rsidRPr="00BA5143" w:rsidTr="00D8464B">
        <w:trPr>
          <w:trHeight w:hRule="exact" w:val="227"/>
        </w:trPr>
        <w:tc>
          <w:tcPr>
            <w:tcW w:w="567" w:type="dxa"/>
          </w:tcPr>
          <w:p w:rsidR="00E70A77" w:rsidRPr="00BA5143" w:rsidRDefault="00F16C68" w:rsidP="001B73D3">
            <w:pPr>
              <w:spacing w:after="120" w:line="220" w:lineRule="exact"/>
              <w:rPr>
                <w:lang w:val="en-US"/>
              </w:rPr>
            </w:pPr>
            <w:r w:rsidRPr="00BA5143">
              <w:rPr>
                <w:lang w:val="en-US"/>
              </w:rPr>
              <w:t>2</w:t>
            </w:r>
            <w:r w:rsidR="001B73D3" w:rsidRPr="00BA5143">
              <w:rPr>
                <w:lang w:val="en-US"/>
              </w:rPr>
              <w:t>1</w:t>
            </w:r>
            <w:r w:rsidR="00E70A77" w:rsidRPr="00BA5143">
              <w:rPr>
                <w:lang w:val="en-US"/>
              </w:rPr>
              <w:t>.</w:t>
            </w:r>
          </w:p>
        </w:tc>
        <w:tc>
          <w:tcPr>
            <w:tcW w:w="7087" w:type="dxa"/>
          </w:tcPr>
          <w:p w:rsidR="00E70A77" w:rsidRPr="00BA5143" w:rsidRDefault="00EA445D" w:rsidP="004074A0">
            <w:pPr>
              <w:spacing w:after="120" w:line="220" w:lineRule="exact"/>
              <w:rPr>
                <w:lang w:val="en-US"/>
              </w:rPr>
            </w:pPr>
            <w:r w:rsidRPr="00BA5143">
              <w:rPr>
                <w:lang w:val="en-US"/>
              </w:rPr>
              <w:t>Administrative and other operating expense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1B73D3" w:rsidP="000E72EC">
            <w:pPr>
              <w:spacing w:after="120" w:line="220" w:lineRule="exact"/>
              <w:rPr>
                <w:lang w:val="en-US"/>
              </w:rPr>
            </w:pPr>
            <w:r w:rsidRPr="00BA5143">
              <w:rPr>
                <w:lang w:val="en-US"/>
              </w:rPr>
              <w:t>4</w:t>
            </w:r>
            <w:r w:rsidR="00EA445D" w:rsidRPr="00BA5143">
              <w:rPr>
                <w:lang w:val="en-US"/>
              </w:rPr>
              <w:t>5</w:t>
            </w:r>
          </w:p>
        </w:tc>
      </w:tr>
      <w:tr w:rsidR="00E70A77" w:rsidRPr="00BA5143" w:rsidTr="00D8464B">
        <w:trPr>
          <w:trHeight w:hRule="exact" w:val="227"/>
        </w:trPr>
        <w:tc>
          <w:tcPr>
            <w:tcW w:w="567" w:type="dxa"/>
          </w:tcPr>
          <w:p w:rsidR="00E70A77" w:rsidRPr="00BA5143" w:rsidRDefault="001B73D3" w:rsidP="002A2EF5">
            <w:pPr>
              <w:spacing w:after="120" w:line="220" w:lineRule="exact"/>
              <w:rPr>
                <w:lang w:val="en-US"/>
              </w:rPr>
            </w:pPr>
            <w:r w:rsidRPr="00BA5143">
              <w:rPr>
                <w:lang w:val="en-US"/>
              </w:rPr>
              <w:t>22</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Costs income taxes</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1B73D3" w:rsidP="002A2EF5">
            <w:pPr>
              <w:spacing w:after="120" w:line="220" w:lineRule="exact"/>
              <w:rPr>
                <w:lang w:val="uk-UA"/>
              </w:rPr>
            </w:pPr>
            <w:r w:rsidRPr="00BA5143">
              <w:rPr>
                <w:lang w:val="en-US"/>
              </w:rPr>
              <w:t>4</w:t>
            </w:r>
            <w:r w:rsidR="00445488">
              <w:rPr>
                <w:lang w:val="uk-UA"/>
              </w:rPr>
              <w:t>6</w:t>
            </w:r>
          </w:p>
        </w:tc>
      </w:tr>
      <w:tr w:rsidR="00E70A77" w:rsidRPr="00BA5143" w:rsidTr="00D8464B">
        <w:trPr>
          <w:trHeight w:hRule="exact" w:val="227"/>
        </w:trPr>
        <w:tc>
          <w:tcPr>
            <w:tcW w:w="567" w:type="dxa"/>
          </w:tcPr>
          <w:p w:rsidR="00E70A77" w:rsidRPr="00BA5143" w:rsidRDefault="001B73D3" w:rsidP="007C6AA1">
            <w:pPr>
              <w:spacing w:after="120" w:line="220" w:lineRule="exact"/>
              <w:rPr>
                <w:lang w:val="en-US"/>
              </w:rPr>
            </w:pPr>
            <w:r w:rsidRPr="00BA5143">
              <w:rPr>
                <w:lang w:val="en-US"/>
              </w:rPr>
              <w:t>23</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Profit</w:t>
            </w:r>
            <w:r w:rsidR="00E70A77" w:rsidRPr="00BA5143">
              <w:rPr>
                <w:lang w:val="en-US"/>
              </w:rPr>
              <w:t>/(</w:t>
            </w:r>
            <w:r w:rsidRPr="00BA5143">
              <w:rPr>
                <w:lang w:val="en-US"/>
              </w:rPr>
              <w:t>loss</w:t>
            </w:r>
            <w:r w:rsidR="00E70A77" w:rsidRPr="00BA5143">
              <w:rPr>
                <w:lang w:val="en-US"/>
              </w:rPr>
              <w:t xml:space="preserve">) </w:t>
            </w:r>
            <w:r w:rsidRPr="00BA5143">
              <w:rPr>
                <w:lang w:val="en-US"/>
              </w:rPr>
              <w:t>per one simple and preferred share</w:t>
            </w:r>
          </w:p>
        </w:tc>
        <w:tc>
          <w:tcPr>
            <w:tcW w:w="700" w:type="dxa"/>
          </w:tcPr>
          <w:p w:rsidR="00E70A77" w:rsidRPr="00BA5143" w:rsidRDefault="00E70A77" w:rsidP="004074A0">
            <w:pPr>
              <w:spacing w:after="120" w:line="220" w:lineRule="exact"/>
              <w:rPr>
                <w:lang w:val="en-US"/>
              </w:rPr>
            </w:pPr>
          </w:p>
        </w:tc>
        <w:tc>
          <w:tcPr>
            <w:tcW w:w="754" w:type="dxa"/>
          </w:tcPr>
          <w:p w:rsidR="00E70A77" w:rsidRPr="00BA5143" w:rsidRDefault="001B73D3" w:rsidP="007C6AA1">
            <w:pPr>
              <w:spacing w:after="120" w:line="220" w:lineRule="exact"/>
              <w:rPr>
                <w:lang w:val="en-US"/>
              </w:rPr>
            </w:pPr>
            <w:r w:rsidRPr="00BA5143">
              <w:rPr>
                <w:lang w:val="en-US"/>
              </w:rPr>
              <w:t>4</w:t>
            </w:r>
            <w:r w:rsidR="003E1F65" w:rsidRPr="00BA5143">
              <w:rPr>
                <w:lang w:val="en-US"/>
              </w:rPr>
              <w:t>6</w:t>
            </w:r>
          </w:p>
        </w:tc>
      </w:tr>
      <w:tr w:rsidR="00E70A77" w:rsidRPr="00BA5143" w:rsidTr="00D8464B">
        <w:trPr>
          <w:trHeight w:hRule="exact" w:val="227"/>
        </w:trPr>
        <w:tc>
          <w:tcPr>
            <w:tcW w:w="567" w:type="dxa"/>
          </w:tcPr>
          <w:p w:rsidR="00E70A77" w:rsidRPr="00BA5143" w:rsidRDefault="00D150AC" w:rsidP="0089188F">
            <w:pPr>
              <w:spacing w:after="120" w:line="220" w:lineRule="exact"/>
              <w:rPr>
                <w:lang w:val="en-US"/>
              </w:rPr>
            </w:pPr>
            <w:r w:rsidRPr="00BA5143">
              <w:rPr>
                <w:lang w:val="en-US"/>
              </w:rPr>
              <w:t>2</w:t>
            </w:r>
            <w:r w:rsidR="0089188F" w:rsidRPr="00BA5143">
              <w:rPr>
                <w:lang w:val="en-US"/>
              </w:rPr>
              <w:t>4</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Operating segments</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89188F" w:rsidP="00D150AC">
            <w:pPr>
              <w:spacing w:after="120" w:line="220" w:lineRule="exact"/>
              <w:rPr>
                <w:lang w:val="uk-UA"/>
              </w:rPr>
            </w:pPr>
            <w:r w:rsidRPr="00BA5143">
              <w:rPr>
                <w:lang w:val="en-US"/>
              </w:rPr>
              <w:t>4</w:t>
            </w:r>
            <w:r w:rsidR="00445488">
              <w:rPr>
                <w:lang w:val="uk-UA"/>
              </w:rPr>
              <w:t>7</w:t>
            </w:r>
          </w:p>
        </w:tc>
      </w:tr>
      <w:tr w:rsidR="00E70A77" w:rsidRPr="00BA5143" w:rsidTr="00D8464B">
        <w:trPr>
          <w:trHeight w:hRule="exact" w:val="227"/>
        </w:trPr>
        <w:tc>
          <w:tcPr>
            <w:tcW w:w="567" w:type="dxa"/>
          </w:tcPr>
          <w:p w:rsidR="00E70A77" w:rsidRPr="00BA5143" w:rsidRDefault="00A30B27" w:rsidP="004074A0">
            <w:pPr>
              <w:spacing w:after="120" w:line="220" w:lineRule="exact"/>
              <w:rPr>
                <w:lang w:val="en-US"/>
              </w:rPr>
            </w:pPr>
            <w:r w:rsidRPr="00BA5143">
              <w:rPr>
                <w:lang w:val="en-US"/>
              </w:rPr>
              <w:t>2</w:t>
            </w:r>
            <w:r w:rsidR="0089188F" w:rsidRPr="00BA5143">
              <w:rPr>
                <w:lang w:val="en-US"/>
              </w:rPr>
              <w:t>5</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Financial risk management</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3E1F65" w:rsidP="004074A0">
            <w:pPr>
              <w:spacing w:after="120" w:line="220" w:lineRule="exact"/>
              <w:rPr>
                <w:lang w:val="uk-UA"/>
              </w:rPr>
            </w:pPr>
            <w:r w:rsidRPr="00BA5143">
              <w:rPr>
                <w:lang w:val="en-US"/>
              </w:rPr>
              <w:t>4</w:t>
            </w:r>
            <w:r w:rsidR="00445488">
              <w:rPr>
                <w:lang w:val="uk-UA"/>
              </w:rPr>
              <w:t>9</w:t>
            </w:r>
          </w:p>
        </w:tc>
      </w:tr>
      <w:tr w:rsidR="00E70A77" w:rsidRPr="00BA5143" w:rsidTr="00D8464B">
        <w:trPr>
          <w:trHeight w:hRule="exact" w:val="227"/>
        </w:trPr>
        <w:tc>
          <w:tcPr>
            <w:tcW w:w="567" w:type="dxa"/>
          </w:tcPr>
          <w:p w:rsidR="00E70A77" w:rsidRPr="00BA5143" w:rsidRDefault="0089188F" w:rsidP="004074A0">
            <w:pPr>
              <w:spacing w:after="120" w:line="220" w:lineRule="exact"/>
              <w:rPr>
                <w:lang w:val="en-US"/>
              </w:rPr>
            </w:pPr>
            <w:r w:rsidRPr="00BA5143">
              <w:rPr>
                <w:lang w:val="en-US"/>
              </w:rPr>
              <w:t>26</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Capital management</w:t>
            </w:r>
          </w:p>
        </w:tc>
        <w:tc>
          <w:tcPr>
            <w:tcW w:w="700" w:type="dxa"/>
          </w:tcPr>
          <w:p w:rsidR="00E70A77" w:rsidRPr="00BA5143" w:rsidRDefault="00E70A77" w:rsidP="004074A0">
            <w:pPr>
              <w:spacing w:after="120" w:line="220" w:lineRule="exact"/>
              <w:rPr>
                <w:lang w:val="en-US"/>
              </w:rPr>
            </w:pPr>
          </w:p>
        </w:tc>
        <w:tc>
          <w:tcPr>
            <w:tcW w:w="754" w:type="dxa"/>
          </w:tcPr>
          <w:p w:rsidR="008E6C19" w:rsidRPr="00BA5143" w:rsidRDefault="003E1F65" w:rsidP="00531CA9">
            <w:pPr>
              <w:spacing w:after="120" w:line="220" w:lineRule="exact"/>
              <w:rPr>
                <w:lang w:val="en-US"/>
              </w:rPr>
            </w:pPr>
            <w:r w:rsidRPr="00BA5143">
              <w:rPr>
                <w:lang w:val="en-US"/>
              </w:rPr>
              <w:t>59</w:t>
            </w:r>
          </w:p>
        </w:tc>
      </w:tr>
      <w:tr w:rsidR="00E70A77" w:rsidRPr="00BA5143" w:rsidTr="00D8464B">
        <w:trPr>
          <w:trHeight w:hRule="exact" w:val="227"/>
        </w:trPr>
        <w:tc>
          <w:tcPr>
            <w:tcW w:w="567" w:type="dxa"/>
          </w:tcPr>
          <w:p w:rsidR="00E70A77" w:rsidRPr="00BA5143" w:rsidRDefault="001D2006" w:rsidP="00B4058B">
            <w:pPr>
              <w:spacing w:after="120" w:line="220" w:lineRule="exact"/>
              <w:rPr>
                <w:lang w:val="en-US"/>
              </w:rPr>
            </w:pPr>
            <w:r w:rsidRPr="00BA5143">
              <w:rPr>
                <w:lang w:val="en-US"/>
              </w:rPr>
              <w:t>27.</w:t>
            </w:r>
          </w:p>
        </w:tc>
        <w:tc>
          <w:tcPr>
            <w:tcW w:w="7087" w:type="dxa"/>
          </w:tcPr>
          <w:p w:rsidR="00E70A77" w:rsidRPr="00BA5143" w:rsidRDefault="003E1F65" w:rsidP="004074A0">
            <w:pPr>
              <w:spacing w:after="120" w:line="220" w:lineRule="exact"/>
              <w:rPr>
                <w:lang w:val="en-US"/>
              </w:rPr>
            </w:pPr>
            <w:r w:rsidRPr="00BA5143">
              <w:rPr>
                <w:lang w:val="en-US"/>
              </w:rPr>
              <w:t>Potential liabilities of the bank</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3E1F65" w:rsidP="004074A0">
            <w:pPr>
              <w:spacing w:after="120" w:line="220" w:lineRule="exact"/>
              <w:rPr>
                <w:lang w:val="uk-UA"/>
              </w:rPr>
            </w:pPr>
            <w:r w:rsidRPr="00BA5143">
              <w:rPr>
                <w:lang w:val="en-US"/>
              </w:rPr>
              <w:t>6</w:t>
            </w:r>
            <w:r w:rsidR="00445488">
              <w:rPr>
                <w:lang w:val="uk-UA"/>
              </w:rPr>
              <w:t>1</w:t>
            </w:r>
          </w:p>
        </w:tc>
      </w:tr>
      <w:tr w:rsidR="00E70A77" w:rsidRPr="00BA5143" w:rsidTr="00D8464B">
        <w:trPr>
          <w:trHeight w:hRule="exact" w:val="227"/>
        </w:trPr>
        <w:tc>
          <w:tcPr>
            <w:tcW w:w="567" w:type="dxa"/>
          </w:tcPr>
          <w:p w:rsidR="00E70A77" w:rsidRPr="00BA5143" w:rsidRDefault="001D2006" w:rsidP="00185379">
            <w:pPr>
              <w:spacing w:after="120" w:line="220" w:lineRule="exact"/>
              <w:rPr>
                <w:lang w:val="en-US"/>
              </w:rPr>
            </w:pPr>
            <w:r w:rsidRPr="00BA5143">
              <w:rPr>
                <w:lang w:val="en-US"/>
              </w:rPr>
              <w:t>28</w:t>
            </w:r>
            <w:r w:rsidR="00E70A77" w:rsidRPr="00BA5143">
              <w:rPr>
                <w:lang w:val="en-US"/>
              </w:rPr>
              <w:t>.</w:t>
            </w:r>
          </w:p>
        </w:tc>
        <w:tc>
          <w:tcPr>
            <w:tcW w:w="7087" w:type="dxa"/>
          </w:tcPr>
          <w:p w:rsidR="00E70A77" w:rsidRPr="00BA5143" w:rsidRDefault="003E1F65" w:rsidP="00E22681">
            <w:pPr>
              <w:spacing w:after="120" w:line="220" w:lineRule="exact"/>
              <w:rPr>
                <w:lang w:val="en-US"/>
              </w:rPr>
            </w:pPr>
            <w:r w:rsidRPr="00BA5143">
              <w:rPr>
                <w:lang w:val="en-US"/>
              </w:rPr>
              <w:t>Fair value of assets and liabilities</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3E1F65" w:rsidP="00E22681">
            <w:pPr>
              <w:spacing w:after="120" w:line="220" w:lineRule="exact"/>
              <w:rPr>
                <w:lang w:val="uk-UA"/>
              </w:rPr>
            </w:pPr>
            <w:r w:rsidRPr="00BA5143">
              <w:rPr>
                <w:lang w:val="en-US"/>
              </w:rPr>
              <w:t>6</w:t>
            </w:r>
            <w:r w:rsidR="00445488">
              <w:rPr>
                <w:lang w:val="uk-UA"/>
              </w:rPr>
              <w:t>1</w:t>
            </w:r>
          </w:p>
        </w:tc>
      </w:tr>
      <w:tr w:rsidR="00E70A77" w:rsidRPr="00BA5143" w:rsidTr="00D8464B">
        <w:trPr>
          <w:trHeight w:hRule="exact" w:val="227"/>
        </w:trPr>
        <w:tc>
          <w:tcPr>
            <w:tcW w:w="567" w:type="dxa"/>
          </w:tcPr>
          <w:p w:rsidR="00E70A77" w:rsidRPr="00BA5143" w:rsidRDefault="001D2006" w:rsidP="00185379">
            <w:pPr>
              <w:spacing w:after="120" w:line="220" w:lineRule="exact"/>
              <w:rPr>
                <w:lang w:val="en-US"/>
              </w:rPr>
            </w:pPr>
            <w:r w:rsidRPr="00BA5143">
              <w:rPr>
                <w:lang w:val="en-US"/>
              </w:rPr>
              <w:t>29</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Submission of financial instruments by evaluation categories</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1D2006" w:rsidP="00A30775">
            <w:pPr>
              <w:spacing w:after="120" w:line="220" w:lineRule="exact"/>
              <w:rPr>
                <w:lang w:val="uk-UA"/>
              </w:rPr>
            </w:pPr>
            <w:r w:rsidRPr="00BA5143">
              <w:rPr>
                <w:lang w:val="en-US"/>
              </w:rPr>
              <w:t>6</w:t>
            </w:r>
            <w:r w:rsidR="00445488">
              <w:rPr>
                <w:lang w:val="uk-UA"/>
              </w:rPr>
              <w:t>3</w:t>
            </w:r>
          </w:p>
        </w:tc>
      </w:tr>
      <w:tr w:rsidR="00E70A77" w:rsidRPr="00BA5143" w:rsidTr="00D8464B">
        <w:trPr>
          <w:trHeight w:hRule="exact" w:val="227"/>
        </w:trPr>
        <w:tc>
          <w:tcPr>
            <w:tcW w:w="567" w:type="dxa"/>
          </w:tcPr>
          <w:p w:rsidR="00E70A77" w:rsidRPr="00BA5143" w:rsidRDefault="00F16C68" w:rsidP="00943E96">
            <w:pPr>
              <w:spacing w:after="120" w:line="220" w:lineRule="exact"/>
              <w:rPr>
                <w:lang w:val="en-US"/>
              </w:rPr>
            </w:pPr>
            <w:r w:rsidRPr="00BA5143">
              <w:rPr>
                <w:lang w:val="en-US"/>
              </w:rPr>
              <w:t>3</w:t>
            </w:r>
            <w:r w:rsidR="00943E96" w:rsidRPr="00BA5143">
              <w:rPr>
                <w:lang w:val="en-US"/>
              </w:rPr>
              <w:t>0</w:t>
            </w:r>
            <w:r w:rsidR="00581CC1"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Operations with relevant parties</w:t>
            </w:r>
          </w:p>
        </w:tc>
        <w:tc>
          <w:tcPr>
            <w:tcW w:w="700" w:type="dxa"/>
          </w:tcPr>
          <w:p w:rsidR="00E70A77" w:rsidRPr="00BA5143" w:rsidRDefault="00E70A77" w:rsidP="004074A0">
            <w:pPr>
              <w:spacing w:after="120" w:line="220" w:lineRule="exact"/>
              <w:rPr>
                <w:lang w:val="en-US"/>
              </w:rPr>
            </w:pPr>
          </w:p>
        </w:tc>
        <w:tc>
          <w:tcPr>
            <w:tcW w:w="754" w:type="dxa"/>
          </w:tcPr>
          <w:p w:rsidR="00E70A77" w:rsidRPr="00445488" w:rsidRDefault="00943E96" w:rsidP="00D81C18">
            <w:pPr>
              <w:spacing w:after="120" w:line="220" w:lineRule="exact"/>
              <w:rPr>
                <w:lang w:val="uk-UA"/>
              </w:rPr>
            </w:pPr>
            <w:r w:rsidRPr="00BA5143">
              <w:rPr>
                <w:lang w:val="en-US"/>
              </w:rPr>
              <w:t>6</w:t>
            </w:r>
            <w:r w:rsidR="00445488">
              <w:rPr>
                <w:lang w:val="uk-UA"/>
              </w:rPr>
              <w:t>4</w:t>
            </w:r>
          </w:p>
        </w:tc>
      </w:tr>
      <w:tr w:rsidR="00E70A77" w:rsidRPr="00BA5143" w:rsidTr="00D8464B">
        <w:trPr>
          <w:trHeight w:hRule="exact" w:val="227"/>
        </w:trPr>
        <w:tc>
          <w:tcPr>
            <w:tcW w:w="567" w:type="dxa"/>
          </w:tcPr>
          <w:p w:rsidR="00E70A77" w:rsidRPr="00BA5143" w:rsidRDefault="00F16C68" w:rsidP="00185379">
            <w:pPr>
              <w:spacing w:after="120" w:line="220" w:lineRule="exact"/>
              <w:rPr>
                <w:lang w:val="en-US"/>
              </w:rPr>
            </w:pPr>
            <w:r w:rsidRPr="00BA5143">
              <w:rPr>
                <w:lang w:val="en-US"/>
              </w:rPr>
              <w:t>3</w:t>
            </w:r>
            <w:r w:rsidR="00943E96" w:rsidRPr="00BA5143">
              <w:rPr>
                <w:lang w:val="en-US"/>
              </w:rPr>
              <w:t>1</w:t>
            </w:r>
            <w:r w:rsidR="00E70A77" w:rsidRPr="00BA5143">
              <w:rPr>
                <w:lang w:val="en-US"/>
              </w:rPr>
              <w:t>.</w:t>
            </w:r>
          </w:p>
        </w:tc>
        <w:tc>
          <w:tcPr>
            <w:tcW w:w="7087" w:type="dxa"/>
          </w:tcPr>
          <w:p w:rsidR="00E70A77" w:rsidRPr="00BA5143" w:rsidRDefault="003E1F65" w:rsidP="004074A0">
            <w:pPr>
              <w:spacing w:after="120" w:line="220" w:lineRule="exact"/>
              <w:rPr>
                <w:lang w:val="en-US"/>
              </w:rPr>
            </w:pPr>
            <w:r w:rsidRPr="00BA5143">
              <w:rPr>
                <w:lang w:val="en-US"/>
              </w:rPr>
              <w:t>Subsequent events</w:t>
            </w:r>
          </w:p>
        </w:tc>
        <w:tc>
          <w:tcPr>
            <w:tcW w:w="700" w:type="dxa"/>
          </w:tcPr>
          <w:p w:rsidR="00E70A77" w:rsidRPr="00BA5143" w:rsidRDefault="00E70A77" w:rsidP="004074A0">
            <w:pPr>
              <w:spacing w:after="120" w:line="220" w:lineRule="exact"/>
              <w:rPr>
                <w:lang w:val="en-US"/>
              </w:rPr>
            </w:pPr>
          </w:p>
        </w:tc>
        <w:tc>
          <w:tcPr>
            <w:tcW w:w="754" w:type="dxa"/>
          </w:tcPr>
          <w:p w:rsidR="00E70A77" w:rsidRPr="00B3678C" w:rsidRDefault="00943E96" w:rsidP="004074A0">
            <w:pPr>
              <w:spacing w:after="120" w:line="220" w:lineRule="exact"/>
              <w:rPr>
                <w:lang w:val="en-US"/>
              </w:rPr>
            </w:pPr>
            <w:r w:rsidRPr="00BA5143">
              <w:rPr>
                <w:lang w:val="en-US"/>
              </w:rPr>
              <w:t>6</w:t>
            </w:r>
            <w:r w:rsidR="00B3678C">
              <w:rPr>
                <w:lang w:val="en-US"/>
              </w:rPr>
              <w:t>5</w:t>
            </w:r>
          </w:p>
        </w:tc>
      </w:tr>
    </w:tbl>
    <w:p w:rsidR="004074A0" w:rsidRPr="00BA5143" w:rsidRDefault="004074A0" w:rsidP="003731C9">
      <w:pPr>
        <w:tabs>
          <w:tab w:val="left" w:pos="426"/>
        </w:tabs>
        <w:spacing w:line="220" w:lineRule="exact"/>
        <w:rPr>
          <w:highlight w:val="green"/>
          <w:lang w:val="en-US"/>
        </w:rPr>
      </w:pPr>
    </w:p>
    <w:p w:rsidR="004074A0" w:rsidRPr="00BA5143" w:rsidRDefault="004074A0" w:rsidP="00DF3545">
      <w:pPr>
        <w:shd w:val="clear" w:color="auto" w:fill="FFFFFF"/>
        <w:tabs>
          <w:tab w:val="left" w:pos="426"/>
        </w:tabs>
        <w:spacing w:line="220" w:lineRule="exact"/>
        <w:rPr>
          <w:highlight w:val="yellow"/>
          <w:lang w:val="en-US"/>
        </w:rPr>
      </w:pPr>
    </w:p>
    <w:p w:rsidR="004074A0" w:rsidRPr="00BA5143" w:rsidRDefault="004074A0" w:rsidP="004074A0">
      <w:pPr>
        <w:pStyle w:val="a4"/>
        <w:spacing w:before="120" w:beforeAutospacing="0" w:after="120" w:afterAutospacing="0" w:line="240" w:lineRule="exact"/>
        <w:jc w:val="both"/>
        <w:rPr>
          <w:b/>
          <w:highlight w:val="yellow"/>
          <w:lang w:val="en-US"/>
        </w:rPr>
      </w:pPr>
      <w:r w:rsidRPr="00BA5143">
        <w:rPr>
          <w:b/>
          <w:highlight w:val="yellow"/>
          <w:lang w:val="en-US"/>
        </w:rPr>
        <w:t xml:space="preserve">                   </w:t>
      </w: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AD44A0" w:rsidRPr="00BA5143" w:rsidRDefault="00AD44A0"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F16B12" w:rsidRPr="00BA5143" w:rsidRDefault="00F16B12" w:rsidP="004074A0">
      <w:pPr>
        <w:pStyle w:val="a4"/>
        <w:spacing w:before="120" w:beforeAutospacing="0" w:after="120" w:afterAutospacing="0" w:line="240" w:lineRule="exact"/>
        <w:jc w:val="both"/>
        <w:rPr>
          <w:b/>
          <w:highlight w:val="yellow"/>
          <w:lang w:val="en-US"/>
        </w:rPr>
      </w:pPr>
    </w:p>
    <w:p w:rsidR="004A779E" w:rsidRPr="00BA5143" w:rsidRDefault="004A779E" w:rsidP="004074A0">
      <w:pPr>
        <w:jc w:val="center"/>
        <w:rPr>
          <w:b/>
          <w:highlight w:val="yellow"/>
          <w:lang w:val="en-US"/>
        </w:rPr>
      </w:pPr>
    </w:p>
    <w:p w:rsidR="007E4A3C" w:rsidRPr="00BA5143" w:rsidRDefault="007E4A3C" w:rsidP="004074A0">
      <w:pPr>
        <w:jc w:val="center"/>
        <w:rPr>
          <w:b/>
          <w:lang w:val="en-US"/>
        </w:rPr>
      </w:pPr>
    </w:p>
    <w:p w:rsidR="003821DB" w:rsidRPr="00BA5143" w:rsidRDefault="003821DB" w:rsidP="003821DB">
      <w:pPr>
        <w:jc w:val="center"/>
        <w:rPr>
          <w:b/>
          <w:lang w:val="en-US"/>
        </w:rPr>
      </w:pPr>
      <w:r w:rsidRPr="00BA5143">
        <w:rPr>
          <w:b/>
          <w:lang w:val="en-US"/>
        </w:rPr>
        <w:t>FINANCIAL STATEMENT (BALANCE)</w:t>
      </w:r>
    </w:p>
    <w:p w:rsidR="004074A0" w:rsidRPr="00BA5143" w:rsidRDefault="003821DB" w:rsidP="003821DB">
      <w:pPr>
        <w:jc w:val="center"/>
        <w:rPr>
          <w:b/>
          <w:lang w:val="en-US"/>
        </w:rPr>
      </w:pPr>
      <w:r w:rsidRPr="00BA5143">
        <w:rPr>
          <w:b/>
          <w:lang w:val="en-US"/>
        </w:rPr>
        <w:t xml:space="preserve">on December 31, 2018 </w:t>
      </w:r>
    </w:p>
    <w:p w:rsidR="00F31D3F" w:rsidRPr="00BA5143" w:rsidRDefault="004074A0" w:rsidP="00F31D3F">
      <w:pPr>
        <w:jc w:val="right"/>
        <w:rPr>
          <w:color w:val="000000"/>
          <w:sz w:val="20"/>
          <w:szCs w:val="20"/>
          <w:highlight w:val="yellow"/>
          <w:lang w:val="en-US"/>
        </w:rPr>
      </w:pPr>
      <w:r w:rsidRPr="00BA5143">
        <w:rPr>
          <w:lang w:val="en-US"/>
        </w:rPr>
        <w:t>(</w:t>
      </w:r>
      <w:r w:rsidR="003821DB" w:rsidRPr="00BA5143">
        <w:rPr>
          <w:lang w:val="en-US"/>
        </w:rPr>
        <w:t>ths</w:t>
      </w:r>
      <w:r w:rsidRPr="00BA5143">
        <w:rPr>
          <w:lang w:val="en-US"/>
        </w:rPr>
        <w:t>.</w:t>
      </w:r>
      <w:r w:rsidR="003821DB" w:rsidRPr="00BA5143">
        <w:rPr>
          <w:lang w:val="en-US"/>
        </w:rPr>
        <w:t>UAH</w:t>
      </w:r>
      <w:r w:rsidRPr="00BA5143">
        <w:rPr>
          <w:lang w:val="en-US"/>
        </w:rPr>
        <w:t>.)</w:t>
      </w:r>
    </w:p>
    <w:tbl>
      <w:tblPr>
        <w:tblW w:w="4793" w:type="pct"/>
        <w:tblInd w:w="252" w:type="dxa"/>
        <w:tblLook w:val="00A0"/>
      </w:tblPr>
      <w:tblGrid>
        <w:gridCol w:w="5593"/>
        <w:gridCol w:w="843"/>
        <w:gridCol w:w="1333"/>
        <w:gridCol w:w="1333"/>
      </w:tblGrid>
      <w:tr w:rsidR="00F31D3F" w:rsidRPr="00BA5143" w:rsidTr="006E1FA7">
        <w:trPr>
          <w:trHeight w:val="181"/>
        </w:trPr>
        <w:tc>
          <w:tcPr>
            <w:tcW w:w="3072" w:type="pct"/>
            <w:tcBorders>
              <w:top w:val="single" w:sz="8" w:space="0" w:color="auto"/>
              <w:left w:val="single" w:sz="8" w:space="0" w:color="auto"/>
              <w:bottom w:val="single" w:sz="4" w:space="0" w:color="auto"/>
              <w:right w:val="single" w:sz="4" w:space="0" w:color="auto"/>
            </w:tcBorders>
            <w:vAlign w:val="bottom"/>
          </w:tcPr>
          <w:p w:rsidR="00F31D3F" w:rsidRPr="00BA5143" w:rsidRDefault="003821DB" w:rsidP="00FF1157">
            <w:pPr>
              <w:spacing w:line="200" w:lineRule="exact"/>
              <w:jc w:val="center"/>
              <w:rPr>
                <w:sz w:val="20"/>
                <w:lang w:val="en-US"/>
              </w:rPr>
            </w:pPr>
            <w:r w:rsidRPr="00BA5143">
              <w:rPr>
                <w:sz w:val="20"/>
                <w:lang w:val="en-US"/>
              </w:rPr>
              <w:t>Item</w:t>
            </w:r>
          </w:p>
        </w:tc>
        <w:tc>
          <w:tcPr>
            <w:tcW w:w="463" w:type="pct"/>
            <w:tcBorders>
              <w:top w:val="single" w:sz="8" w:space="0" w:color="auto"/>
              <w:left w:val="nil"/>
              <w:bottom w:val="single" w:sz="4" w:space="0" w:color="auto"/>
              <w:right w:val="single" w:sz="4" w:space="0" w:color="auto"/>
            </w:tcBorders>
            <w:noWrap/>
            <w:vAlign w:val="bottom"/>
          </w:tcPr>
          <w:p w:rsidR="00F31D3F" w:rsidRPr="00BA5143" w:rsidRDefault="003821DB" w:rsidP="00FF1157">
            <w:pPr>
              <w:spacing w:line="200" w:lineRule="exact"/>
              <w:jc w:val="center"/>
              <w:rPr>
                <w:sz w:val="20"/>
                <w:lang w:val="en-US"/>
              </w:rPr>
            </w:pPr>
            <w:r w:rsidRPr="00BA5143">
              <w:rPr>
                <w:sz w:val="20"/>
                <w:lang w:val="en-US"/>
              </w:rPr>
              <w:t>Notes</w:t>
            </w:r>
          </w:p>
        </w:tc>
        <w:tc>
          <w:tcPr>
            <w:tcW w:w="732" w:type="pct"/>
            <w:tcBorders>
              <w:top w:val="single" w:sz="8" w:space="0" w:color="auto"/>
              <w:left w:val="nil"/>
              <w:bottom w:val="single" w:sz="4" w:space="0" w:color="auto"/>
              <w:right w:val="single" w:sz="4" w:space="0" w:color="auto"/>
            </w:tcBorders>
            <w:noWrap/>
            <w:vAlign w:val="bottom"/>
          </w:tcPr>
          <w:p w:rsidR="00F31D3F" w:rsidRPr="00BA5143" w:rsidRDefault="003821DB" w:rsidP="00FF1157">
            <w:pPr>
              <w:spacing w:line="200" w:lineRule="exact"/>
              <w:jc w:val="center"/>
              <w:rPr>
                <w:b/>
                <w:bCs/>
                <w:sz w:val="20"/>
                <w:lang w:val="en-US"/>
              </w:rPr>
            </w:pPr>
            <w:r w:rsidRPr="00BA5143">
              <w:rPr>
                <w:b/>
                <w:bCs/>
                <w:sz w:val="20"/>
                <w:lang w:val="en-US"/>
              </w:rPr>
              <w:t>December 31</w:t>
            </w:r>
          </w:p>
          <w:p w:rsidR="00F31D3F" w:rsidRPr="00BA5143" w:rsidRDefault="00F31D3F" w:rsidP="00FF1157">
            <w:pPr>
              <w:spacing w:line="200" w:lineRule="exact"/>
              <w:jc w:val="center"/>
              <w:rPr>
                <w:b/>
                <w:bCs/>
                <w:sz w:val="20"/>
                <w:lang w:val="en-US"/>
              </w:rPr>
            </w:pPr>
            <w:r w:rsidRPr="00BA5143">
              <w:rPr>
                <w:b/>
                <w:bCs/>
                <w:sz w:val="20"/>
                <w:lang w:val="en-US"/>
              </w:rPr>
              <w:t xml:space="preserve"> 2018 </w:t>
            </w:r>
          </w:p>
        </w:tc>
        <w:tc>
          <w:tcPr>
            <w:tcW w:w="732" w:type="pct"/>
            <w:tcBorders>
              <w:top w:val="single" w:sz="8" w:space="0" w:color="auto"/>
              <w:left w:val="nil"/>
              <w:bottom w:val="single" w:sz="4" w:space="0" w:color="auto"/>
              <w:right w:val="single" w:sz="4" w:space="0" w:color="auto"/>
            </w:tcBorders>
            <w:noWrap/>
            <w:vAlign w:val="bottom"/>
          </w:tcPr>
          <w:p w:rsidR="003821DB" w:rsidRPr="00BA5143" w:rsidRDefault="003821DB" w:rsidP="003821DB">
            <w:pPr>
              <w:spacing w:line="200" w:lineRule="exact"/>
              <w:jc w:val="center"/>
              <w:rPr>
                <w:b/>
                <w:bCs/>
                <w:sz w:val="20"/>
                <w:lang w:val="en-US"/>
              </w:rPr>
            </w:pPr>
            <w:r w:rsidRPr="00BA5143">
              <w:rPr>
                <w:b/>
                <w:bCs/>
                <w:sz w:val="20"/>
                <w:lang w:val="en-US"/>
              </w:rPr>
              <w:t>December 31</w:t>
            </w:r>
          </w:p>
          <w:p w:rsidR="00F31D3F" w:rsidRPr="00BA5143" w:rsidRDefault="003821DB" w:rsidP="003821DB">
            <w:pPr>
              <w:spacing w:line="200" w:lineRule="exact"/>
              <w:jc w:val="center"/>
              <w:rPr>
                <w:b/>
                <w:bCs/>
                <w:sz w:val="20"/>
                <w:lang w:val="en-US"/>
              </w:rPr>
            </w:pPr>
            <w:r w:rsidRPr="00BA5143">
              <w:rPr>
                <w:b/>
                <w:bCs/>
                <w:sz w:val="20"/>
                <w:lang w:val="en-US"/>
              </w:rPr>
              <w:t xml:space="preserve"> 2017</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vAlign w:val="bottom"/>
          </w:tcPr>
          <w:p w:rsidR="00F31D3F" w:rsidRPr="00BA5143" w:rsidRDefault="00F31D3F" w:rsidP="00FF1157">
            <w:pPr>
              <w:spacing w:line="200" w:lineRule="exact"/>
              <w:jc w:val="center"/>
              <w:rPr>
                <w:b/>
                <w:bCs/>
                <w:sz w:val="20"/>
                <w:lang w:val="en-US"/>
              </w:rPr>
            </w:pPr>
            <w:r w:rsidRPr="00BA5143">
              <w:rPr>
                <w:b/>
                <w:bCs/>
                <w:sz w:val="20"/>
                <w:lang w:val="en-US"/>
              </w:rPr>
              <w:t>1</w:t>
            </w:r>
          </w:p>
        </w:tc>
        <w:tc>
          <w:tcPr>
            <w:tcW w:w="463" w:type="pct"/>
            <w:tcBorders>
              <w:top w:val="nil"/>
              <w:left w:val="nil"/>
              <w:bottom w:val="single" w:sz="4" w:space="0" w:color="auto"/>
              <w:right w:val="single" w:sz="4" w:space="0" w:color="auto"/>
            </w:tcBorders>
            <w:noWrap/>
            <w:vAlign w:val="bottom"/>
          </w:tcPr>
          <w:p w:rsidR="00F31D3F" w:rsidRPr="00BA5143" w:rsidRDefault="00F31D3F" w:rsidP="00FF1157">
            <w:pPr>
              <w:spacing w:line="200" w:lineRule="exact"/>
              <w:jc w:val="center"/>
              <w:rPr>
                <w:b/>
                <w:bCs/>
                <w:sz w:val="20"/>
                <w:lang w:val="en-US"/>
              </w:rPr>
            </w:pPr>
            <w:r w:rsidRPr="00BA5143">
              <w:rPr>
                <w:b/>
                <w:bCs/>
                <w:sz w:val="20"/>
                <w:lang w:val="en-US"/>
              </w:rPr>
              <w:t>2</w:t>
            </w:r>
          </w:p>
        </w:tc>
        <w:tc>
          <w:tcPr>
            <w:tcW w:w="732" w:type="pct"/>
            <w:tcBorders>
              <w:top w:val="nil"/>
              <w:left w:val="nil"/>
              <w:bottom w:val="single" w:sz="4" w:space="0" w:color="auto"/>
              <w:right w:val="single" w:sz="4" w:space="0" w:color="auto"/>
            </w:tcBorders>
            <w:noWrap/>
            <w:vAlign w:val="bottom"/>
          </w:tcPr>
          <w:p w:rsidR="00F31D3F" w:rsidRPr="00BA5143" w:rsidRDefault="00F31D3F" w:rsidP="00FF1157">
            <w:pPr>
              <w:spacing w:line="200" w:lineRule="exact"/>
              <w:jc w:val="center"/>
              <w:rPr>
                <w:b/>
                <w:bCs/>
                <w:sz w:val="20"/>
                <w:lang w:val="en-US"/>
              </w:rPr>
            </w:pPr>
            <w:r w:rsidRPr="00BA5143">
              <w:rPr>
                <w:b/>
                <w:bCs/>
                <w:sz w:val="20"/>
                <w:lang w:val="en-US"/>
              </w:rPr>
              <w:t>3</w:t>
            </w:r>
          </w:p>
        </w:tc>
        <w:tc>
          <w:tcPr>
            <w:tcW w:w="732" w:type="pct"/>
            <w:tcBorders>
              <w:top w:val="nil"/>
              <w:left w:val="nil"/>
              <w:bottom w:val="single" w:sz="4" w:space="0" w:color="auto"/>
              <w:right w:val="single" w:sz="4" w:space="0" w:color="auto"/>
            </w:tcBorders>
            <w:noWrap/>
            <w:vAlign w:val="bottom"/>
          </w:tcPr>
          <w:p w:rsidR="00F31D3F" w:rsidRPr="00BA5143" w:rsidRDefault="00F31D3F" w:rsidP="00FF1157">
            <w:pPr>
              <w:spacing w:line="200" w:lineRule="exact"/>
              <w:jc w:val="center"/>
              <w:rPr>
                <w:b/>
                <w:bCs/>
                <w:sz w:val="20"/>
                <w:lang w:val="en-US"/>
              </w:rPr>
            </w:pPr>
            <w:r w:rsidRPr="00BA5143">
              <w:rPr>
                <w:b/>
                <w:bCs/>
                <w:sz w:val="20"/>
                <w:lang w:val="en-US"/>
              </w:rPr>
              <w:t>4</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vAlign w:val="bottom"/>
          </w:tcPr>
          <w:p w:rsidR="00F31D3F" w:rsidRPr="00BA5143" w:rsidRDefault="003821DB" w:rsidP="00FF1157">
            <w:pPr>
              <w:spacing w:line="200" w:lineRule="exact"/>
              <w:jc w:val="center"/>
              <w:rPr>
                <w:b/>
                <w:bCs/>
                <w:sz w:val="20"/>
                <w:lang w:val="en-US"/>
              </w:rPr>
            </w:pPr>
            <w:r w:rsidRPr="00BA5143">
              <w:rPr>
                <w:b/>
                <w:bCs/>
                <w:sz w:val="20"/>
                <w:lang w:val="en-US"/>
              </w:rPr>
              <w:t>ASSETS</w:t>
            </w:r>
          </w:p>
        </w:tc>
        <w:tc>
          <w:tcPr>
            <w:tcW w:w="463" w:type="pct"/>
            <w:tcBorders>
              <w:top w:val="nil"/>
              <w:left w:val="nil"/>
              <w:bottom w:val="nil"/>
              <w:right w:val="nil"/>
            </w:tcBorders>
            <w:noWrap/>
            <w:vAlign w:val="bottom"/>
          </w:tcPr>
          <w:p w:rsidR="00F31D3F" w:rsidRPr="00BA5143" w:rsidRDefault="00F31D3F" w:rsidP="00FF1157">
            <w:pPr>
              <w:spacing w:line="200" w:lineRule="exact"/>
              <w:jc w:val="center"/>
              <w:rPr>
                <w:sz w:val="20"/>
                <w:lang w:val="en-US"/>
              </w:rPr>
            </w:pPr>
          </w:p>
        </w:tc>
        <w:tc>
          <w:tcPr>
            <w:tcW w:w="732" w:type="pct"/>
            <w:tcBorders>
              <w:top w:val="nil"/>
              <w:left w:val="single" w:sz="4" w:space="0" w:color="auto"/>
              <w:bottom w:val="single" w:sz="4" w:space="0" w:color="auto"/>
              <w:right w:val="single" w:sz="4" w:space="0" w:color="auto"/>
            </w:tcBorders>
            <w:noWrap/>
          </w:tcPr>
          <w:p w:rsidR="00F31D3F" w:rsidRPr="00BA5143" w:rsidRDefault="00F31D3F" w:rsidP="00FF1157">
            <w:pPr>
              <w:spacing w:line="200" w:lineRule="exact"/>
              <w:jc w:val="right"/>
              <w:rPr>
                <w:sz w:val="20"/>
                <w:lang w:val="en-US"/>
              </w:rPr>
            </w:pPr>
            <w:r w:rsidRPr="00BA5143">
              <w:rPr>
                <w:sz w:val="20"/>
                <w:lang w:val="en-US"/>
              </w:rPr>
              <w:t> </w:t>
            </w: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sz w:val="20"/>
                <w:lang w:val="en-US"/>
              </w:rPr>
            </w:pPr>
            <w:r w:rsidRPr="00BA5143">
              <w:rPr>
                <w:sz w:val="20"/>
                <w:lang w:val="en-US"/>
              </w:rPr>
              <w:t> </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Cash and cash equivalents</w:t>
            </w:r>
          </w:p>
        </w:tc>
        <w:tc>
          <w:tcPr>
            <w:tcW w:w="463" w:type="pct"/>
            <w:tcBorders>
              <w:top w:val="single" w:sz="4" w:space="0" w:color="auto"/>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r w:rsidRPr="00BA5143">
              <w:rPr>
                <w:sz w:val="20"/>
                <w:lang w:val="en-US"/>
              </w:rPr>
              <w:t>6</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3 289</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3 417</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Investments in securities</w:t>
            </w:r>
          </w:p>
        </w:tc>
        <w:tc>
          <w:tcPr>
            <w:tcW w:w="463" w:type="pct"/>
            <w:tcBorders>
              <w:top w:val="nil"/>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r w:rsidRPr="00BA5143">
              <w:rPr>
                <w:sz w:val="20"/>
                <w:lang w:val="en-US"/>
              </w:rPr>
              <w:t>7</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169 043</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149 720</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 xml:space="preserve">Investment </w:t>
            </w:r>
            <w:r w:rsidR="006E1FA7" w:rsidRPr="00BA5143">
              <w:rPr>
                <w:sz w:val="20"/>
                <w:lang w:val="en-US"/>
              </w:rPr>
              <w:t>p</w:t>
            </w:r>
            <w:r w:rsidRPr="00BA5143">
              <w:rPr>
                <w:sz w:val="20"/>
                <w:lang w:val="en-US"/>
              </w:rPr>
              <w:t>roperty</w:t>
            </w:r>
          </w:p>
        </w:tc>
        <w:tc>
          <w:tcPr>
            <w:tcW w:w="463" w:type="pct"/>
            <w:tcBorders>
              <w:top w:val="nil"/>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r w:rsidRPr="00BA5143">
              <w:rPr>
                <w:sz w:val="20"/>
                <w:lang w:val="en-US"/>
              </w:rPr>
              <w:t>8</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27 761</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27 808</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Accounts receivable on current income tax</w:t>
            </w:r>
          </w:p>
        </w:tc>
        <w:tc>
          <w:tcPr>
            <w:tcW w:w="463" w:type="pct"/>
            <w:tcBorders>
              <w:top w:val="nil"/>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248</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248</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Property, plant and equipment and intangible assets</w:t>
            </w:r>
          </w:p>
        </w:tc>
        <w:tc>
          <w:tcPr>
            <w:tcW w:w="463" w:type="pct"/>
            <w:tcBorders>
              <w:top w:val="nil"/>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r w:rsidRPr="00BA5143">
              <w:rPr>
                <w:sz w:val="20"/>
                <w:lang w:val="en-US"/>
              </w:rPr>
              <w:t>9</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28 638</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28 695</w:t>
            </w:r>
          </w:p>
        </w:tc>
      </w:tr>
      <w:tr w:rsidR="003821DB" w:rsidRPr="00BA5143" w:rsidTr="006E1FA7">
        <w:trPr>
          <w:trHeight w:val="181"/>
        </w:trPr>
        <w:tc>
          <w:tcPr>
            <w:tcW w:w="3072" w:type="pct"/>
            <w:tcBorders>
              <w:top w:val="nil"/>
              <w:left w:val="single" w:sz="8" w:space="0" w:color="auto"/>
              <w:bottom w:val="single" w:sz="4" w:space="0" w:color="auto"/>
              <w:right w:val="single" w:sz="4" w:space="0" w:color="auto"/>
            </w:tcBorders>
          </w:tcPr>
          <w:p w:rsidR="003821DB" w:rsidRPr="00BA5143" w:rsidRDefault="003821DB" w:rsidP="003821DB">
            <w:pPr>
              <w:spacing w:line="200" w:lineRule="exact"/>
              <w:rPr>
                <w:sz w:val="20"/>
                <w:lang w:val="en-US"/>
              </w:rPr>
            </w:pPr>
            <w:r w:rsidRPr="00BA5143">
              <w:rPr>
                <w:sz w:val="20"/>
                <w:lang w:val="en-US"/>
              </w:rPr>
              <w:t>Other assets</w:t>
            </w:r>
          </w:p>
        </w:tc>
        <w:tc>
          <w:tcPr>
            <w:tcW w:w="463" w:type="pct"/>
            <w:tcBorders>
              <w:top w:val="nil"/>
              <w:left w:val="nil"/>
              <w:bottom w:val="single" w:sz="4" w:space="0" w:color="auto"/>
              <w:right w:val="single" w:sz="4" w:space="0" w:color="auto"/>
            </w:tcBorders>
            <w:noWrap/>
          </w:tcPr>
          <w:p w:rsidR="003821DB" w:rsidRPr="00BA5143" w:rsidRDefault="003821DB" w:rsidP="003821DB">
            <w:pPr>
              <w:spacing w:line="200" w:lineRule="exact"/>
              <w:jc w:val="center"/>
              <w:rPr>
                <w:sz w:val="20"/>
                <w:lang w:val="en-US"/>
              </w:rPr>
            </w:pPr>
            <w:r w:rsidRPr="00BA5143">
              <w:rPr>
                <w:sz w:val="20"/>
                <w:lang w:val="en-US"/>
              </w:rPr>
              <w:t>10</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2 804</w:t>
            </w:r>
          </w:p>
        </w:tc>
        <w:tc>
          <w:tcPr>
            <w:tcW w:w="732" w:type="pct"/>
            <w:tcBorders>
              <w:top w:val="nil"/>
              <w:left w:val="nil"/>
              <w:bottom w:val="single" w:sz="4" w:space="0" w:color="auto"/>
              <w:right w:val="single" w:sz="4" w:space="0" w:color="auto"/>
            </w:tcBorders>
            <w:noWrap/>
          </w:tcPr>
          <w:p w:rsidR="003821DB" w:rsidRPr="00BA5143" w:rsidRDefault="003821DB" w:rsidP="003821DB">
            <w:pPr>
              <w:spacing w:line="200" w:lineRule="exact"/>
              <w:jc w:val="right"/>
              <w:rPr>
                <w:sz w:val="20"/>
                <w:lang w:val="en-US"/>
              </w:rPr>
            </w:pPr>
            <w:r w:rsidRPr="00BA5143">
              <w:rPr>
                <w:sz w:val="20"/>
                <w:lang w:val="en-US"/>
              </w:rPr>
              <w:t>893</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tcPr>
          <w:p w:rsidR="00F31D3F" w:rsidRPr="00BA5143" w:rsidRDefault="003821DB" w:rsidP="00FF1157">
            <w:pPr>
              <w:spacing w:line="200" w:lineRule="exact"/>
              <w:rPr>
                <w:b/>
                <w:bCs/>
                <w:sz w:val="20"/>
                <w:lang w:val="en-US"/>
              </w:rPr>
            </w:pPr>
            <w:r w:rsidRPr="00BA5143">
              <w:rPr>
                <w:b/>
                <w:bCs/>
                <w:sz w:val="20"/>
                <w:lang w:val="en-US"/>
              </w:rPr>
              <w:t xml:space="preserve">Total </w:t>
            </w:r>
            <w:r w:rsidR="003E1F65" w:rsidRPr="00BA5143">
              <w:rPr>
                <w:b/>
                <w:bCs/>
                <w:sz w:val="20"/>
                <w:lang w:val="en-US"/>
              </w:rPr>
              <w:t>assets</w:t>
            </w:r>
          </w:p>
        </w:tc>
        <w:tc>
          <w:tcPr>
            <w:tcW w:w="463" w:type="pct"/>
            <w:tcBorders>
              <w:top w:val="nil"/>
              <w:left w:val="nil"/>
              <w:bottom w:val="single" w:sz="4" w:space="0" w:color="auto"/>
              <w:right w:val="single" w:sz="4" w:space="0" w:color="auto"/>
            </w:tcBorders>
            <w:noWrap/>
          </w:tcPr>
          <w:p w:rsidR="00F31D3F" w:rsidRPr="00BA5143" w:rsidRDefault="00F31D3F" w:rsidP="00FF1157">
            <w:pPr>
              <w:spacing w:line="200" w:lineRule="exact"/>
              <w:jc w:val="center"/>
              <w:rPr>
                <w:sz w:val="20"/>
                <w:highlight w:val="yellow"/>
                <w:lang w:val="en-US"/>
              </w:rPr>
            </w:pP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b/>
                <w:bCs/>
                <w:sz w:val="20"/>
                <w:lang w:val="en-US"/>
              </w:rPr>
            </w:pPr>
            <w:r w:rsidRPr="00BA5143">
              <w:rPr>
                <w:b/>
                <w:bCs/>
                <w:sz w:val="20"/>
                <w:lang w:val="en-US"/>
              </w:rPr>
              <w:t>231 783</w:t>
            </w: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b/>
                <w:bCs/>
                <w:sz w:val="20"/>
                <w:lang w:val="en-US"/>
              </w:rPr>
            </w:pPr>
            <w:r w:rsidRPr="00BA5143">
              <w:rPr>
                <w:b/>
                <w:bCs/>
                <w:sz w:val="20"/>
                <w:lang w:val="en-US"/>
              </w:rPr>
              <w:t>210 781</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vAlign w:val="center"/>
          </w:tcPr>
          <w:p w:rsidR="00F31D3F" w:rsidRPr="00BA5143" w:rsidRDefault="003821DB" w:rsidP="00FF1157">
            <w:pPr>
              <w:spacing w:line="200" w:lineRule="exact"/>
              <w:jc w:val="center"/>
              <w:rPr>
                <w:b/>
                <w:bCs/>
                <w:sz w:val="20"/>
                <w:lang w:val="en-US"/>
              </w:rPr>
            </w:pPr>
            <w:r w:rsidRPr="00BA5143">
              <w:rPr>
                <w:b/>
                <w:bCs/>
                <w:sz w:val="20"/>
                <w:lang w:val="en-US"/>
              </w:rPr>
              <w:t>LIABILITIES</w:t>
            </w:r>
          </w:p>
        </w:tc>
        <w:tc>
          <w:tcPr>
            <w:tcW w:w="463" w:type="pct"/>
            <w:tcBorders>
              <w:top w:val="nil"/>
              <w:left w:val="nil"/>
              <w:bottom w:val="single" w:sz="4" w:space="0" w:color="auto"/>
              <w:right w:val="single" w:sz="4" w:space="0" w:color="auto"/>
            </w:tcBorders>
            <w:noWrap/>
          </w:tcPr>
          <w:p w:rsidR="00F31D3F" w:rsidRPr="00BA5143" w:rsidRDefault="00F31D3F" w:rsidP="00FF1157">
            <w:pPr>
              <w:spacing w:line="200" w:lineRule="exact"/>
              <w:jc w:val="center"/>
              <w:rPr>
                <w:sz w:val="20"/>
                <w:highlight w:val="yellow"/>
                <w:lang w:val="en-US"/>
              </w:rPr>
            </w:pP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sz w:val="20"/>
                <w:lang w:val="en-US"/>
              </w:rPr>
            </w:pPr>
            <w:r w:rsidRPr="00BA5143">
              <w:rPr>
                <w:sz w:val="20"/>
                <w:lang w:val="en-US"/>
              </w:rPr>
              <w:t> </w:t>
            </w: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sz w:val="20"/>
                <w:lang w:val="en-US"/>
              </w:rPr>
            </w:pPr>
            <w:r w:rsidRPr="00BA5143">
              <w:rPr>
                <w:sz w:val="20"/>
                <w:lang w:val="en-US"/>
              </w:rPr>
              <w:t> </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3E1F65" w:rsidP="006E1FA7">
            <w:pPr>
              <w:spacing w:line="200" w:lineRule="exact"/>
              <w:rPr>
                <w:sz w:val="20"/>
                <w:lang w:val="en-US"/>
              </w:rPr>
            </w:pPr>
            <w:r w:rsidRPr="00BA5143">
              <w:rPr>
                <w:sz w:val="20"/>
                <w:lang w:val="en-US"/>
              </w:rPr>
              <w:t>Clients’</w:t>
            </w:r>
            <w:r w:rsidR="006E1FA7" w:rsidRPr="00BA5143">
              <w:rPr>
                <w:sz w:val="20"/>
                <w:lang w:val="en-US"/>
              </w:rPr>
              <w:t xml:space="preserve"> money</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11</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617</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2 544</w:t>
            </w:r>
          </w:p>
        </w:tc>
      </w:tr>
      <w:tr w:rsidR="006E1FA7" w:rsidRPr="00BA5143" w:rsidTr="006E1FA7">
        <w:trPr>
          <w:trHeight w:val="144"/>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Provisions for liabilities</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12</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111</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Other liabilities</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13</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347</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268</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Subordinated debt</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14</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32 754</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23 296</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tcPr>
          <w:p w:rsidR="00F31D3F" w:rsidRPr="00BA5143" w:rsidRDefault="003821DB" w:rsidP="00FF1157">
            <w:pPr>
              <w:spacing w:line="200" w:lineRule="exact"/>
              <w:rPr>
                <w:b/>
                <w:bCs/>
                <w:sz w:val="20"/>
                <w:lang w:val="en-US"/>
              </w:rPr>
            </w:pPr>
            <w:r w:rsidRPr="00BA5143">
              <w:rPr>
                <w:b/>
                <w:bCs/>
                <w:sz w:val="20"/>
                <w:lang w:val="en-US"/>
              </w:rPr>
              <w:t>Total liabilities</w:t>
            </w:r>
          </w:p>
        </w:tc>
        <w:tc>
          <w:tcPr>
            <w:tcW w:w="463" w:type="pct"/>
            <w:tcBorders>
              <w:top w:val="nil"/>
              <w:left w:val="nil"/>
              <w:bottom w:val="single" w:sz="4" w:space="0" w:color="auto"/>
              <w:right w:val="single" w:sz="4" w:space="0" w:color="auto"/>
            </w:tcBorders>
            <w:noWrap/>
          </w:tcPr>
          <w:p w:rsidR="00F31D3F" w:rsidRPr="00BA5143" w:rsidRDefault="00F31D3F" w:rsidP="00FF1157">
            <w:pPr>
              <w:spacing w:line="200" w:lineRule="exact"/>
              <w:jc w:val="center"/>
              <w:rPr>
                <w:sz w:val="20"/>
                <w:lang w:val="en-US"/>
              </w:rPr>
            </w:pP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b/>
                <w:bCs/>
                <w:sz w:val="20"/>
                <w:lang w:val="en-US"/>
              </w:rPr>
            </w:pPr>
            <w:r w:rsidRPr="00BA5143">
              <w:rPr>
                <w:b/>
                <w:bCs/>
                <w:sz w:val="20"/>
                <w:lang w:val="en-US"/>
              </w:rPr>
              <w:t>33 718</w:t>
            </w:r>
          </w:p>
        </w:tc>
        <w:tc>
          <w:tcPr>
            <w:tcW w:w="732" w:type="pct"/>
            <w:tcBorders>
              <w:top w:val="nil"/>
              <w:left w:val="nil"/>
              <w:bottom w:val="single" w:sz="4" w:space="0" w:color="auto"/>
              <w:right w:val="single" w:sz="4" w:space="0" w:color="auto"/>
            </w:tcBorders>
            <w:noWrap/>
          </w:tcPr>
          <w:p w:rsidR="00F31D3F" w:rsidRPr="00BA5143" w:rsidRDefault="00F31D3F" w:rsidP="00FF1157">
            <w:pPr>
              <w:spacing w:line="200" w:lineRule="exact"/>
              <w:jc w:val="right"/>
              <w:rPr>
                <w:b/>
                <w:bCs/>
                <w:sz w:val="20"/>
                <w:lang w:val="en-US"/>
              </w:rPr>
            </w:pPr>
            <w:r w:rsidRPr="00BA5143">
              <w:rPr>
                <w:b/>
                <w:bCs/>
                <w:sz w:val="20"/>
                <w:lang w:val="en-US"/>
              </w:rPr>
              <w:t>26 219</w:t>
            </w:r>
          </w:p>
        </w:tc>
      </w:tr>
      <w:tr w:rsidR="00F31D3F" w:rsidRPr="00BA5143" w:rsidTr="006E1FA7">
        <w:trPr>
          <w:trHeight w:val="181"/>
        </w:trPr>
        <w:tc>
          <w:tcPr>
            <w:tcW w:w="3072" w:type="pct"/>
            <w:tcBorders>
              <w:top w:val="nil"/>
              <w:left w:val="single" w:sz="8" w:space="0" w:color="auto"/>
              <w:bottom w:val="single" w:sz="4" w:space="0" w:color="auto"/>
              <w:right w:val="single" w:sz="4" w:space="0" w:color="auto"/>
            </w:tcBorders>
            <w:vAlign w:val="center"/>
          </w:tcPr>
          <w:p w:rsidR="00F31D3F" w:rsidRPr="00BA5143" w:rsidRDefault="003821DB" w:rsidP="00FF1157">
            <w:pPr>
              <w:spacing w:line="200" w:lineRule="exact"/>
              <w:rPr>
                <w:b/>
                <w:bCs/>
                <w:sz w:val="20"/>
                <w:lang w:val="en-US"/>
              </w:rPr>
            </w:pPr>
            <w:r w:rsidRPr="00BA5143">
              <w:rPr>
                <w:b/>
                <w:bCs/>
                <w:sz w:val="20"/>
                <w:lang w:val="en-US"/>
              </w:rPr>
              <w:t>EQUITY</w:t>
            </w:r>
          </w:p>
        </w:tc>
        <w:tc>
          <w:tcPr>
            <w:tcW w:w="463" w:type="pct"/>
            <w:tcBorders>
              <w:top w:val="nil"/>
              <w:left w:val="nil"/>
              <w:bottom w:val="single" w:sz="4" w:space="0" w:color="auto"/>
              <w:right w:val="single" w:sz="4" w:space="0" w:color="auto"/>
            </w:tcBorders>
            <w:noWrap/>
            <w:vAlign w:val="center"/>
          </w:tcPr>
          <w:p w:rsidR="00F31D3F" w:rsidRPr="00BA5143" w:rsidRDefault="00F31D3F" w:rsidP="00FF1157">
            <w:pPr>
              <w:spacing w:line="200" w:lineRule="exact"/>
              <w:rPr>
                <w:sz w:val="20"/>
                <w:lang w:val="en-US"/>
              </w:rPr>
            </w:pPr>
          </w:p>
        </w:tc>
        <w:tc>
          <w:tcPr>
            <w:tcW w:w="732" w:type="pct"/>
            <w:tcBorders>
              <w:top w:val="nil"/>
              <w:left w:val="nil"/>
              <w:bottom w:val="single" w:sz="4" w:space="0" w:color="auto"/>
              <w:right w:val="single" w:sz="4" w:space="0" w:color="auto"/>
            </w:tcBorders>
            <w:noWrap/>
            <w:vAlign w:val="center"/>
          </w:tcPr>
          <w:p w:rsidR="00F31D3F" w:rsidRPr="00BA5143" w:rsidRDefault="00F31D3F" w:rsidP="00FF1157">
            <w:pPr>
              <w:spacing w:line="200" w:lineRule="exact"/>
              <w:rPr>
                <w:sz w:val="20"/>
                <w:lang w:val="en-US"/>
              </w:rPr>
            </w:pPr>
            <w:r w:rsidRPr="00BA5143">
              <w:rPr>
                <w:sz w:val="20"/>
                <w:lang w:val="en-US"/>
              </w:rPr>
              <w:t> </w:t>
            </w:r>
          </w:p>
        </w:tc>
        <w:tc>
          <w:tcPr>
            <w:tcW w:w="732" w:type="pct"/>
            <w:tcBorders>
              <w:top w:val="nil"/>
              <w:left w:val="nil"/>
              <w:bottom w:val="single" w:sz="4" w:space="0" w:color="auto"/>
              <w:right w:val="single" w:sz="4" w:space="0" w:color="auto"/>
            </w:tcBorders>
            <w:noWrap/>
            <w:vAlign w:val="center"/>
          </w:tcPr>
          <w:p w:rsidR="00F31D3F" w:rsidRPr="00BA5143" w:rsidRDefault="00F31D3F" w:rsidP="00FF1157">
            <w:pPr>
              <w:spacing w:line="200" w:lineRule="exact"/>
              <w:rPr>
                <w:sz w:val="20"/>
                <w:lang w:val="en-US"/>
              </w:rPr>
            </w:pPr>
            <w:r w:rsidRPr="00BA5143">
              <w:rPr>
                <w:sz w:val="20"/>
                <w:lang w:val="en-US"/>
              </w:rPr>
              <w:t> </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Share capital</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15</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244 000</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244 000</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Another additional capital</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15</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(261)</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(261)</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Reserve and other funds of the bank</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4 044</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4 044</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Revaluation reserves</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r w:rsidRPr="00BA5143">
              <w:rPr>
                <w:sz w:val="20"/>
                <w:lang w:val="en-US"/>
              </w:rPr>
              <w:t>16</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5 352</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sz w:val="20"/>
                <w:lang w:val="en-US"/>
              </w:rPr>
            </w:pPr>
            <w:r w:rsidRPr="00BA5143">
              <w:rPr>
                <w:sz w:val="20"/>
                <w:lang w:val="en-US"/>
              </w:rPr>
              <w:t>Retained earnings (uncovered loss)</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(55 070)</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sz w:val="20"/>
                <w:lang w:val="en-US"/>
              </w:rPr>
            </w:pPr>
            <w:r w:rsidRPr="00BA5143">
              <w:rPr>
                <w:sz w:val="20"/>
                <w:lang w:val="en-US"/>
              </w:rPr>
              <w:t>(63 221)</w:t>
            </w:r>
          </w:p>
        </w:tc>
      </w:tr>
      <w:tr w:rsidR="006E1FA7" w:rsidRPr="00BA5143" w:rsidTr="006E1FA7">
        <w:trPr>
          <w:trHeight w:val="181"/>
        </w:trPr>
        <w:tc>
          <w:tcPr>
            <w:tcW w:w="3072" w:type="pct"/>
            <w:tcBorders>
              <w:top w:val="nil"/>
              <w:left w:val="single" w:sz="8" w:space="0" w:color="auto"/>
              <w:bottom w:val="single" w:sz="4" w:space="0" w:color="auto"/>
              <w:right w:val="single" w:sz="4" w:space="0" w:color="auto"/>
            </w:tcBorders>
          </w:tcPr>
          <w:p w:rsidR="006E1FA7" w:rsidRPr="00BA5143" w:rsidRDefault="006E1FA7" w:rsidP="006E1FA7">
            <w:pPr>
              <w:spacing w:line="200" w:lineRule="exact"/>
              <w:rPr>
                <w:b/>
                <w:bCs/>
                <w:sz w:val="20"/>
                <w:lang w:val="en-US"/>
              </w:rPr>
            </w:pPr>
            <w:r w:rsidRPr="00BA5143">
              <w:rPr>
                <w:b/>
                <w:bCs/>
                <w:sz w:val="20"/>
                <w:lang w:val="en-US"/>
              </w:rPr>
              <w:t>Total equity</w:t>
            </w:r>
          </w:p>
        </w:tc>
        <w:tc>
          <w:tcPr>
            <w:tcW w:w="463" w:type="pct"/>
            <w:tcBorders>
              <w:top w:val="nil"/>
              <w:left w:val="nil"/>
              <w:bottom w:val="single" w:sz="4" w:space="0" w:color="auto"/>
              <w:right w:val="single" w:sz="4" w:space="0" w:color="auto"/>
            </w:tcBorders>
            <w:noWrap/>
          </w:tcPr>
          <w:p w:rsidR="006E1FA7" w:rsidRPr="00BA5143" w:rsidRDefault="006E1FA7" w:rsidP="006E1FA7">
            <w:pPr>
              <w:spacing w:line="200" w:lineRule="exact"/>
              <w:jc w:val="center"/>
              <w:rPr>
                <w:sz w:val="20"/>
                <w:lang w:val="en-US"/>
              </w:rPr>
            </w:pP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b/>
                <w:bCs/>
                <w:sz w:val="20"/>
                <w:lang w:val="en-US"/>
              </w:rPr>
            </w:pPr>
            <w:r w:rsidRPr="00BA5143">
              <w:rPr>
                <w:b/>
                <w:bCs/>
                <w:sz w:val="20"/>
                <w:lang w:val="en-US"/>
              </w:rPr>
              <w:t>198 065</w:t>
            </w:r>
          </w:p>
        </w:tc>
        <w:tc>
          <w:tcPr>
            <w:tcW w:w="732" w:type="pct"/>
            <w:tcBorders>
              <w:top w:val="nil"/>
              <w:left w:val="nil"/>
              <w:bottom w:val="single" w:sz="4" w:space="0" w:color="auto"/>
              <w:right w:val="single" w:sz="4" w:space="0" w:color="auto"/>
            </w:tcBorders>
            <w:noWrap/>
          </w:tcPr>
          <w:p w:rsidR="006E1FA7" w:rsidRPr="00BA5143" w:rsidRDefault="006E1FA7" w:rsidP="006E1FA7">
            <w:pPr>
              <w:spacing w:line="200" w:lineRule="exact"/>
              <w:jc w:val="right"/>
              <w:rPr>
                <w:b/>
                <w:bCs/>
                <w:sz w:val="20"/>
                <w:lang w:val="en-US"/>
              </w:rPr>
            </w:pPr>
            <w:r w:rsidRPr="00BA5143">
              <w:rPr>
                <w:b/>
                <w:bCs/>
                <w:sz w:val="20"/>
                <w:lang w:val="en-US"/>
              </w:rPr>
              <w:t>184 562</w:t>
            </w:r>
          </w:p>
        </w:tc>
      </w:tr>
      <w:tr w:rsidR="006E1FA7" w:rsidRPr="00BA5143" w:rsidTr="006E1FA7">
        <w:trPr>
          <w:trHeight w:val="181"/>
        </w:trPr>
        <w:tc>
          <w:tcPr>
            <w:tcW w:w="3072" w:type="pct"/>
            <w:tcBorders>
              <w:top w:val="nil"/>
              <w:left w:val="single" w:sz="8" w:space="0" w:color="auto"/>
              <w:bottom w:val="single" w:sz="8" w:space="0" w:color="auto"/>
              <w:right w:val="single" w:sz="4" w:space="0" w:color="auto"/>
            </w:tcBorders>
          </w:tcPr>
          <w:p w:rsidR="006E1FA7" w:rsidRPr="00BA5143" w:rsidRDefault="006E1FA7" w:rsidP="006E1FA7">
            <w:pPr>
              <w:spacing w:line="200" w:lineRule="exact"/>
              <w:rPr>
                <w:b/>
                <w:bCs/>
                <w:sz w:val="20"/>
                <w:lang w:val="en-US"/>
              </w:rPr>
            </w:pPr>
            <w:r w:rsidRPr="00BA5143">
              <w:rPr>
                <w:b/>
                <w:bCs/>
                <w:sz w:val="20"/>
                <w:lang w:val="en-US"/>
              </w:rPr>
              <w:t>Total liabilities and equity</w:t>
            </w:r>
          </w:p>
        </w:tc>
        <w:tc>
          <w:tcPr>
            <w:tcW w:w="463" w:type="pct"/>
            <w:tcBorders>
              <w:top w:val="nil"/>
              <w:left w:val="nil"/>
              <w:bottom w:val="single" w:sz="8" w:space="0" w:color="auto"/>
              <w:right w:val="single" w:sz="4" w:space="0" w:color="auto"/>
            </w:tcBorders>
            <w:noWrap/>
            <w:vAlign w:val="bottom"/>
          </w:tcPr>
          <w:p w:rsidR="006E1FA7" w:rsidRPr="00BA5143" w:rsidRDefault="006E1FA7" w:rsidP="006E1FA7">
            <w:pPr>
              <w:spacing w:line="200" w:lineRule="exact"/>
              <w:jc w:val="center"/>
              <w:rPr>
                <w:sz w:val="20"/>
                <w:lang w:val="en-US"/>
              </w:rPr>
            </w:pPr>
          </w:p>
        </w:tc>
        <w:tc>
          <w:tcPr>
            <w:tcW w:w="732" w:type="pct"/>
            <w:tcBorders>
              <w:top w:val="nil"/>
              <w:left w:val="nil"/>
              <w:bottom w:val="single" w:sz="8" w:space="0" w:color="auto"/>
              <w:right w:val="single" w:sz="4" w:space="0" w:color="auto"/>
            </w:tcBorders>
            <w:noWrap/>
          </w:tcPr>
          <w:p w:rsidR="006E1FA7" w:rsidRPr="00BA5143" w:rsidRDefault="006E1FA7" w:rsidP="006E1FA7">
            <w:pPr>
              <w:spacing w:line="200" w:lineRule="exact"/>
              <w:jc w:val="right"/>
              <w:rPr>
                <w:b/>
                <w:bCs/>
                <w:sz w:val="20"/>
                <w:lang w:val="en-US"/>
              </w:rPr>
            </w:pPr>
            <w:r w:rsidRPr="00BA5143">
              <w:rPr>
                <w:b/>
                <w:bCs/>
                <w:sz w:val="20"/>
                <w:lang w:val="en-US"/>
              </w:rPr>
              <w:t>231 783</w:t>
            </w:r>
          </w:p>
        </w:tc>
        <w:tc>
          <w:tcPr>
            <w:tcW w:w="732" w:type="pct"/>
            <w:tcBorders>
              <w:top w:val="nil"/>
              <w:left w:val="nil"/>
              <w:bottom w:val="single" w:sz="8" w:space="0" w:color="auto"/>
              <w:right w:val="single" w:sz="4" w:space="0" w:color="auto"/>
            </w:tcBorders>
            <w:noWrap/>
          </w:tcPr>
          <w:p w:rsidR="006E1FA7" w:rsidRPr="00BA5143" w:rsidRDefault="006E1FA7" w:rsidP="006E1FA7">
            <w:pPr>
              <w:spacing w:line="200" w:lineRule="exact"/>
              <w:jc w:val="right"/>
              <w:rPr>
                <w:b/>
                <w:bCs/>
                <w:sz w:val="20"/>
                <w:lang w:val="en-US"/>
              </w:rPr>
            </w:pPr>
            <w:r w:rsidRPr="00BA5143">
              <w:rPr>
                <w:b/>
                <w:bCs/>
                <w:sz w:val="20"/>
                <w:lang w:val="en-US"/>
              </w:rPr>
              <w:t>210 781</w:t>
            </w:r>
          </w:p>
        </w:tc>
      </w:tr>
    </w:tbl>
    <w:p w:rsidR="00D81D28" w:rsidRPr="00BA5143" w:rsidRDefault="006E1FA7" w:rsidP="00F57205">
      <w:pPr>
        <w:pStyle w:val="a4"/>
        <w:spacing w:after="120" w:afterAutospacing="0" w:line="240" w:lineRule="exact"/>
        <w:jc w:val="both"/>
        <w:rPr>
          <w:color w:val="000000"/>
          <w:sz w:val="20"/>
          <w:szCs w:val="20"/>
          <w:lang w:val="en-US"/>
        </w:rPr>
      </w:pPr>
      <w:r w:rsidRPr="00BA5143">
        <w:rPr>
          <w:color w:val="000000"/>
          <w:sz w:val="20"/>
          <w:szCs w:val="20"/>
          <w:lang w:val="en-US"/>
        </w:rPr>
        <w:t>The notes on pages 8-6</w:t>
      </w:r>
      <w:r w:rsidR="00B3678C">
        <w:rPr>
          <w:color w:val="000000"/>
          <w:sz w:val="20"/>
          <w:szCs w:val="20"/>
          <w:lang w:val="en-US"/>
        </w:rPr>
        <w:t>5</w:t>
      </w:r>
      <w:r w:rsidRPr="00BA5143">
        <w:rPr>
          <w:color w:val="000000"/>
          <w:sz w:val="20"/>
          <w:szCs w:val="20"/>
          <w:lang w:val="en-US"/>
        </w:rPr>
        <w:t xml:space="preserve"> are an integral part of the financial statements of the Bank for 2018.</w:t>
      </w:r>
    </w:p>
    <w:p w:rsidR="006E1FA7" w:rsidRPr="00BA5143" w:rsidRDefault="006E1FA7" w:rsidP="006E1FA7">
      <w:pPr>
        <w:pStyle w:val="a4"/>
        <w:tabs>
          <w:tab w:val="left" w:pos="3969"/>
          <w:tab w:val="left" w:pos="4111"/>
        </w:tabs>
        <w:spacing w:after="120" w:line="240" w:lineRule="exact"/>
        <w:jc w:val="both"/>
        <w:rPr>
          <w:color w:val="000000"/>
          <w:lang w:val="en-US"/>
        </w:rPr>
      </w:pPr>
      <w:r w:rsidRPr="00BA5143">
        <w:rPr>
          <w:color w:val="000000"/>
          <w:lang w:val="en-US"/>
        </w:rPr>
        <w:t>Approved for issue and signed</w:t>
      </w:r>
    </w:p>
    <w:p w:rsidR="00B6485D" w:rsidRPr="00BA5143" w:rsidRDefault="006E1FA7" w:rsidP="006E1FA7">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March 18, 2019</w:t>
      </w:r>
    </w:p>
    <w:p w:rsidR="006E1FA7" w:rsidRPr="00BA5143" w:rsidRDefault="006E1FA7" w:rsidP="006E1FA7">
      <w:pPr>
        <w:pStyle w:val="a4"/>
        <w:tabs>
          <w:tab w:val="left" w:pos="3969"/>
          <w:tab w:val="left" w:pos="4111"/>
        </w:tabs>
        <w:spacing w:before="0" w:beforeAutospacing="0" w:after="120" w:afterAutospacing="0" w:line="240" w:lineRule="exact"/>
        <w:jc w:val="both"/>
        <w:rPr>
          <w:color w:val="000000"/>
          <w:lang w:val="en-US"/>
        </w:rPr>
      </w:pPr>
    </w:p>
    <w:p w:rsidR="004074A0" w:rsidRPr="00BA5143" w:rsidRDefault="006E1FA7" w:rsidP="004074A0">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Chairman</w:t>
      </w:r>
      <w:r w:rsidR="00B6485D" w:rsidRPr="00BA5143">
        <w:rPr>
          <w:color w:val="000000"/>
          <w:lang w:val="en-US"/>
        </w:rPr>
        <w:t xml:space="preserve">                                            </w:t>
      </w:r>
      <w:r w:rsidR="004074A0" w:rsidRPr="00BA5143">
        <w:rPr>
          <w:color w:val="000000"/>
          <w:lang w:val="en-US"/>
        </w:rPr>
        <w:tab/>
      </w:r>
      <w:r w:rsidRPr="00BA5143">
        <w:rPr>
          <w:color w:val="000000"/>
          <w:lang w:val="en-US"/>
        </w:rPr>
        <w:t xml:space="preserve">                  </w:t>
      </w:r>
      <w:r w:rsidR="00B6485D" w:rsidRPr="00BA5143">
        <w:rPr>
          <w:color w:val="000000"/>
          <w:lang w:val="en-US"/>
        </w:rPr>
        <w:t>О.</w:t>
      </w:r>
      <w:r w:rsidRPr="00BA5143">
        <w:rPr>
          <w:color w:val="000000"/>
          <w:lang w:val="en-US"/>
        </w:rPr>
        <w:t xml:space="preserve"> Loktionov</w:t>
      </w:r>
      <w:r w:rsidR="00B6485D" w:rsidRPr="00BA5143">
        <w:rPr>
          <w:color w:val="000000"/>
          <w:lang w:val="en-US"/>
        </w:rPr>
        <w:t xml:space="preserve"> </w:t>
      </w:r>
    </w:p>
    <w:p w:rsidR="00B6485D" w:rsidRPr="00BA5143" w:rsidRDefault="006E1FA7" w:rsidP="00B6485D">
      <w:pPr>
        <w:pStyle w:val="a4"/>
        <w:tabs>
          <w:tab w:val="left" w:pos="4111"/>
        </w:tabs>
        <w:spacing w:before="0" w:beforeAutospacing="0" w:after="0" w:afterAutospacing="0" w:line="240" w:lineRule="exact"/>
        <w:jc w:val="both"/>
        <w:rPr>
          <w:color w:val="000000"/>
          <w:lang w:val="en-US"/>
        </w:rPr>
      </w:pPr>
      <w:r w:rsidRPr="00BA5143">
        <w:rPr>
          <w:color w:val="000000"/>
          <w:lang w:val="en-US"/>
        </w:rPr>
        <w:t>Chief account</w:t>
      </w:r>
      <w:r w:rsidR="00201937" w:rsidRPr="00BA5143">
        <w:rPr>
          <w:color w:val="000000"/>
          <w:lang w:val="en-US"/>
        </w:rPr>
        <w:t>ant</w:t>
      </w:r>
      <w:r w:rsidRPr="00BA5143">
        <w:rPr>
          <w:color w:val="000000"/>
          <w:lang w:val="en-US"/>
        </w:rPr>
        <w:t xml:space="preserve"> </w:t>
      </w:r>
      <w:r w:rsidR="00B6485D" w:rsidRPr="00BA5143">
        <w:rPr>
          <w:color w:val="000000"/>
          <w:lang w:val="en-US"/>
        </w:rPr>
        <w:tab/>
      </w:r>
      <w:r w:rsidR="00B6485D" w:rsidRPr="00BA5143">
        <w:rPr>
          <w:color w:val="000000"/>
          <w:lang w:val="en-US"/>
        </w:rPr>
        <w:tab/>
      </w:r>
      <w:r w:rsidR="00B6485D"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00B6485D" w:rsidRPr="00BA5143">
        <w:rPr>
          <w:color w:val="000000"/>
          <w:lang w:val="en-US"/>
        </w:rPr>
        <w:t xml:space="preserve"> </w:t>
      </w:r>
    </w:p>
    <w:p w:rsidR="00B6485D" w:rsidRPr="00BA5143" w:rsidRDefault="006E1FA7" w:rsidP="004074A0">
      <w:pPr>
        <w:pStyle w:val="a4"/>
        <w:tabs>
          <w:tab w:val="left" w:pos="4111"/>
        </w:tabs>
        <w:spacing w:before="0" w:beforeAutospacing="0" w:after="0" w:afterAutospacing="0" w:line="240" w:lineRule="exact"/>
        <w:jc w:val="both"/>
        <w:rPr>
          <w:color w:val="000000"/>
          <w:sz w:val="20"/>
          <w:szCs w:val="20"/>
          <w:u w:val="single"/>
          <w:lang w:val="en-US"/>
        </w:rPr>
      </w:pPr>
      <w:r w:rsidRPr="00BA5143">
        <w:rPr>
          <w:color w:val="000000"/>
          <w:sz w:val="20"/>
          <w:szCs w:val="20"/>
          <w:u w:val="single"/>
          <w:lang w:val="en-US"/>
        </w:rPr>
        <w:t xml:space="preserve">N. </w:t>
      </w:r>
      <w:proofErr w:type="spellStart"/>
      <w:r w:rsidRPr="00BA5143">
        <w:rPr>
          <w:color w:val="000000"/>
          <w:sz w:val="20"/>
          <w:szCs w:val="20"/>
          <w:u w:val="single"/>
          <w:lang w:val="en-US"/>
        </w:rPr>
        <w:t>Zelen</w:t>
      </w:r>
      <w:r w:rsidR="006C58AD">
        <w:rPr>
          <w:color w:val="000000"/>
          <w:sz w:val="20"/>
          <w:szCs w:val="20"/>
          <w:u w:val="single"/>
          <w:lang w:val="en-US"/>
        </w:rPr>
        <w:t>i</w:t>
      </w:r>
      <w:r w:rsidRPr="00BA5143">
        <w:rPr>
          <w:color w:val="000000"/>
          <w:sz w:val="20"/>
          <w:szCs w:val="20"/>
          <w:u w:val="single"/>
          <w:lang w:val="en-US"/>
        </w:rPr>
        <w:t>uk</w:t>
      </w:r>
      <w:proofErr w:type="spellEnd"/>
      <w:r w:rsidR="00B6485D" w:rsidRPr="00BA5143">
        <w:rPr>
          <w:color w:val="000000"/>
          <w:sz w:val="20"/>
          <w:szCs w:val="20"/>
          <w:u w:val="single"/>
          <w:lang w:val="en-US"/>
        </w:rPr>
        <w:t xml:space="preserve"> </w:t>
      </w:r>
      <w:r w:rsidRPr="00BA5143">
        <w:rPr>
          <w:color w:val="000000"/>
          <w:sz w:val="20"/>
          <w:szCs w:val="20"/>
          <w:u w:val="single"/>
          <w:lang w:val="en-US"/>
        </w:rPr>
        <w:t>tel</w:t>
      </w:r>
      <w:r w:rsidR="004074A0" w:rsidRPr="00BA5143">
        <w:rPr>
          <w:color w:val="000000"/>
          <w:sz w:val="20"/>
          <w:szCs w:val="20"/>
          <w:u w:val="single"/>
          <w:lang w:val="en-US"/>
        </w:rPr>
        <w:t xml:space="preserve">. </w:t>
      </w:r>
      <w:r w:rsidR="00B6485D" w:rsidRPr="00BA5143">
        <w:rPr>
          <w:color w:val="000000"/>
          <w:sz w:val="20"/>
          <w:szCs w:val="20"/>
          <w:u w:val="single"/>
          <w:lang w:val="en-US"/>
        </w:rPr>
        <w:t>454 27 00</w:t>
      </w:r>
      <w:r w:rsidR="004074A0" w:rsidRPr="00BA5143">
        <w:rPr>
          <w:color w:val="000000"/>
          <w:sz w:val="20"/>
          <w:szCs w:val="20"/>
          <w:u w:val="single"/>
          <w:lang w:val="en-US"/>
        </w:rPr>
        <w:t xml:space="preserve">  </w:t>
      </w:r>
    </w:p>
    <w:p w:rsidR="004074A0" w:rsidRPr="00BA5143" w:rsidRDefault="004074A0" w:rsidP="004074A0">
      <w:pPr>
        <w:pStyle w:val="a4"/>
        <w:tabs>
          <w:tab w:val="left" w:pos="4111"/>
        </w:tabs>
        <w:spacing w:before="0" w:beforeAutospacing="0" w:after="0" w:afterAutospacing="0" w:line="240" w:lineRule="exact"/>
        <w:jc w:val="both"/>
        <w:rPr>
          <w:color w:val="000000"/>
          <w:vertAlign w:val="superscript"/>
          <w:lang w:val="en-US"/>
        </w:rPr>
      </w:pPr>
      <w:r w:rsidRPr="00BA5143">
        <w:rPr>
          <w:color w:val="000000"/>
          <w:vertAlign w:val="superscript"/>
          <w:lang w:val="en-US"/>
        </w:rPr>
        <w:t>(</w:t>
      </w:r>
      <w:r w:rsidR="006E1FA7" w:rsidRPr="00BA5143">
        <w:rPr>
          <w:color w:val="000000"/>
          <w:vertAlign w:val="superscript"/>
          <w:lang w:val="en-US"/>
        </w:rPr>
        <w:t>performer surname, phone number</w:t>
      </w:r>
      <w:r w:rsidRPr="00BA5143">
        <w:rPr>
          <w:color w:val="000000"/>
          <w:vertAlign w:val="superscript"/>
          <w:lang w:val="en-US"/>
        </w:rPr>
        <w:t>)</w:t>
      </w:r>
    </w:p>
    <w:p w:rsidR="008B4228" w:rsidRPr="00BA5143" w:rsidRDefault="008B4228" w:rsidP="004074A0">
      <w:pPr>
        <w:spacing w:line="200" w:lineRule="exact"/>
        <w:jc w:val="center"/>
        <w:rPr>
          <w:b/>
          <w:lang w:val="en-US"/>
        </w:rPr>
      </w:pPr>
    </w:p>
    <w:p w:rsidR="00CB64C7" w:rsidRPr="00BA5143" w:rsidRDefault="00CB64C7" w:rsidP="004074A0">
      <w:pPr>
        <w:spacing w:line="200" w:lineRule="exact"/>
        <w:jc w:val="center"/>
        <w:rPr>
          <w:b/>
          <w:lang w:val="en-US"/>
        </w:rPr>
      </w:pPr>
    </w:p>
    <w:p w:rsidR="00690986" w:rsidRPr="00BA5143" w:rsidRDefault="00690986" w:rsidP="004074A0">
      <w:pPr>
        <w:spacing w:line="200" w:lineRule="exact"/>
        <w:jc w:val="center"/>
        <w:rPr>
          <w:b/>
          <w:lang w:val="en-US"/>
        </w:rPr>
      </w:pPr>
    </w:p>
    <w:p w:rsidR="00690986" w:rsidRPr="00BA5143" w:rsidRDefault="00690986" w:rsidP="004074A0">
      <w:pPr>
        <w:spacing w:line="200" w:lineRule="exact"/>
        <w:jc w:val="center"/>
        <w:rPr>
          <w:b/>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1D4CC3" w:rsidRPr="00BA5143" w:rsidRDefault="001D4CC3" w:rsidP="004074A0">
      <w:pPr>
        <w:spacing w:line="200" w:lineRule="exact"/>
        <w:jc w:val="center"/>
        <w:rPr>
          <w:b/>
          <w:highlight w:val="yellow"/>
          <w:lang w:val="en-US"/>
        </w:rPr>
      </w:pPr>
    </w:p>
    <w:p w:rsidR="001D4CC3" w:rsidRPr="00BA5143" w:rsidRDefault="001D4CC3"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130892" w:rsidRPr="00BA5143" w:rsidRDefault="00130892" w:rsidP="004074A0">
      <w:pPr>
        <w:spacing w:line="200" w:lineRule="exact"/>
        <w:jc w:val="center"/>
        <w:rPr>
          <w:b/>
          <w:highlight w:val="yellow"/>
          <w:lang w:val="en-US"/>
        </w:rPr>
      </w:pPr>
    </w:p>
    <w:p w:rsidR="00130892" w:rsidRPr="00BA5143" w:rsidRDefault="00130892" w:rsidP="004074A0">
      <w:pPr>
        <w:spacing w:line="200" w:lineRule="exact"/>
        <w:jc w:val="center"/>
        <w:rPr>
          <w:b/>
          <w:highlight w:val="yellow"/>
          <w:lang w:val="en-US"/>
        </w:rPr>
      </w:pPr>
    </w:p>
    <w:p w:rsidR="00130892" w:rsidRPr="00BA5143" w:rsidRDefault="00130892" w:rsidP="004074A0">
      <w:pPr>
        <w:spacing w:line="200" w:lineRule="exact"/>
        <w:jc w:val="center"/>
        <w:rPr>
          <w:b/>
          <w:highlight w:val="yellow"/>
          <w:lang w:val="en-US"/>
        </w:rPr>
      </w:pPr>
    </w:p>
    <w:p w:rsidR="00667D2E" w:rsidRPr="00BA5143" w:rsidRDefault="00667D2E" w:rsidP="004074A0">
      <w:pPr>
        <w:spacing w:line="200" w:lineRule="exact"/>
        <w:jc w:val="center"/>
        <w:rPr>
          <w:b/>
          <w:highlight w:val="yellow"/>
          <w:lang w:val="en-US"/>
        </w:rPr>
      </w:pPr>
    </w:p>
    <w:p w:rsidR="00526F83" w:rsidRPr="00BA5143" w:rsidRDefault="00526F83" w:rsidP="004074A0">
      <w:pPr>
        <w:spacing w:line="200" w:lineRule="exact"/>
        <w:jc w:val="center"/>
        <w:rPr>
          <w:b/>
          <w:highlight w:val="yellow"/>
          <w:lang w:val="en-US"/>
        </w:rPr>
      </w:pPr>
    </w:p>
    <w:p w:rsidR="00526F83" w:rsidRPr="00BA5143" w:rsidRDefault="00526F83" w:rsidP="004074A0">
      <w:pPr>
        <w:spacing w:line="200" w:lineRule="exact"/>
        <w:jc w:val="center"/>
        <w:rPr>
          <w:b/>
          <w:highlight w:val="yellow"/>
          <w:lang w:val="en-US"/>
        </w:rPr>
      </w:pPr>
    </w:p>
    <w:p w:rsidR="00667D2E" w:rsidRPr="00BA5143" w:rsidRDefault="00667D2E"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4601C2" w:rsidRPr="00BA5143" w:rsidRDefault="004601C2"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690986" w:rsidRPr="00BA5143" w:rsidRDefault="00690986" w:rsidP="004074A0">
      <w:pPr>
        <w:spacing w:line="200" w:lineRule="exact"/>
        <w:jc w:val="center"/>
        <w:rPr>
          <w:b/>
          <w:highlight w:val="yellow"/>
          <w:lang w:val="en-US"/>
        </w:rPr>
      </w:pPr>
    </w:p>
    <w:p w:rsidR="00130892" w:rsidRPr="00BA5143" w:rsidRDefault="00130892" w:rsidP="007C6AB0">
      <w:pPr>
        <w:spacing w:line="200" w:lineRule="exact"/>
        <w:jc w:val="center"/>
        <w:rPr>
          <w:b/>
          <w:highlight w:val="yellow"/>
          <w:lang w:val="en-US"/>
        </w:rPr>
      </w:pPr>
    </w:p>
    <w:p w:rsidR="006E1FA7" w:rsidRPr="00BA5143" w:rsidRDefault="006E1FA7" w:rsidP="006E1FA7">
      <w:pPr>
        <w:spacing w:line="200" w:lineRule="exact"/>
        <w:jc w:val="center"/>
        <w:rPr>
          <w:b/>
          <w:lang w:val="en-US"/>
        </w:rPr>
      </w:pPr>
      <w:r w:rsidRPr="00BA5143">
        <w:rPr>
          <w:b/>
          <w:lang w:val="en-US"/>
        </w:rPr>
        <w:t>STATEMENT OF PROFIT AND LOSS</w:t>
      </w:r>
    </w:p>
    <w:p w:rsidR="004964E0" w:rsidRPr="00BA5143" w:rsidRDefault="006E1FA7" w:rsidP="006E1FA7">
      <w:pPr>
        <w:spacing w:line="200" w:lineRule="exact"/>
        <w:jc w:val="center"/>
        <w:rPr>
          <w:b/>
          <w:lang w:val="en-US"/>
        </w:rPr>
      </w:pPr>
      <w:r w:rsidRPr="00BA5143">
        <w:rPr>
          <w:b/>
          <w:lang w:val="en-US"/>
        </w:rPr>
        <w:t>for 2018</w:t>
      </w:r>
    </w:p>
    <w:p w:rsidR="006E1FA7" w:rsidRPr="00BA5143" w:rsidRDefault="004964E0" w:rsidP="006E1FA7">
      <w:pPr>
        <w:jc w:val="right"/>
        <w:rPr>
          <w:color w:val="000000"/>
          <w:sz w:val="20"/>
          <w:szCs w:val="20"/>
          <w:highlight w:val="yellow"/>
          <w:lang w:val="en-US"/>
        </w:rPr>
      </w:pPr>
      <w:r w:rsidRPr="00BA5143">
        <w:rPr>
          <w:b/>
          <w:lang w:val="en-US"/>
        </w:rPr>
        <w:t xml:space="preserve">   </w:t>
      </w:r>
      <w:r w:rsidR="004074A0" w:rsidRPr="00BA5143">
        <w:rPr>
          <w:b/>
          <w:lang w:val="en-US"/>
        </w:rPr>
        <w:t xml:space="preserve">                                                                                                             </w:t>
      </w:r>
      <w:r w:rsidRPr="00BA5143">
        <w:rPr>
          <w:b/>
          <w:lang w:val="en-US"/>
        </w:rPr>
        <w:t xml:space="preserve">             </w:t>
      </w:r>
      <w:r w:rsidR="006E1FA7" w:rsidRPr="00BA5143">
        <w:rPr>
          <w:lang w:val="en-US"/>
        </w:rPr>
        <w:t xml:space="preserve"> (ths.UAH.)</w:t>
      </w:r>
    </w:p>
    <w:p w:rsidR="00780A9A" w:rsidRPr="00BA5143" w:rsidRDefault="00780A9A" w:rsidP="00780A9A">
      <w:pPr>
        <w:spacing w:line="200" w:lineRule="exact"/>
        <w:jc w:val="center"/>
        <w:rPr>
          <w:color w:val="000000"/>
          <w:sz w:val="20"/>
          <w:szCs w:val="20"/>
          <w:lang w:val="en-US"/>
        </w:rPr>
      </w:pPr>
    </w:p>
    <w:tbl>
      <w:tblPr>
        <w:tblW w:w="8945" w:type="dxa"/>
        <w:tblLook w:val="00A0"/>
      </w:tblPr>
      <w:tblGrid>
        <w:gridCol w:w="5328"/>
        <w:gridCol w:w="1119"/>
        <w:gridCol w:w="1360"/>
        <w:gridCol w:w="1138"/>
      </w:tblGrid>
      <w:tr w:rsidR="00780A9A" w:rsidRPr="00BA5143" w:rsidTr="00FF1157">
        <w:trPr>
          <w:trHeight w:val="255"/>
        </w:trPr>
        <w:tc>
          <w:tcPr>
            <w:tcW w:w="5328" w:type="dxa"/>
            <w:tcBorders>
              <w:top w:val="single" w:sz="4" w:space="0" w:color="auto"/>
              <w:left w:val="single" w:sz="4" w:space="0" w:color="auto"/>
              <w:bottom w:val="single" w:sz="4" w:space="0" w:color="auto"/>
              <w:right w:val="single" w:sz="4" w:space="0" w:color="auto"/>
            </w:tcBorders>
            <w:vAlign w:val="center"/>
          </w:tcPr>
          <w:p w:rsidR="00780A9A" w:rsidRPr="00BA5143" w:rsidRDefault="00860BED" w:rsidP="00FF1157">
            <w:pPr>
              <w:spacing w:line="200" w:lineRule="exact"/>
              <w:jc w:val="center"/>
              <w:rPr>
                <w:b/>
                <w:bCs/>
                <w:sz w:val="20"/>
                <w:lang w:val="en-US"/>
              </w:rPr>
            </w:pPr>
            <w:r w:rsidRPr="00BA5143">
              <w:rPr>
                <w:b/>
                <w:bCs/>
                <w:sz w:val="20"/>
                <w:lang w:val="en-US"/>
              </w:rPr>
              <w:t>Item</w:t>
            </w:r>
          </w:p>
        </w:tc>
        <w:tc>
          <w:tcPr>
            <w:tcW w:w="1119" w:type="dxa"/>
            <w:tcBorders>
              <w:top w:val="single" w:sz="4" w:space="0" w:color="auto"/>
              <w:left w:val="nil"/>
              <w:bottom w:val="single" w:sz="4" w:space="0" w:color="auto"/>
              <w:right w:val="single" w:sz="4" w:space="0" w:color="auto"/>
            </w:tcBorders>
            <w:noWrap/>
            <w:vAlign w:val="center"/>
          </w:tcPr>
          <w:p w:rsidR="00780A9A" w:rsidRPr="00BA5143" w:rsidRDefault="00860BED" w:rsidP="00FF1157">
            <w:pPr>
              <w:spacing w:line="200" w:lineRule="exact"/>
              <w:jc w:val="center"/>
              <w:rPr>
                <w:b/>
                <w:bCs/>
                <w:sz w:val="20"/>
                <w:lang w:val="en-US"/>
              </w:rPr>
            </w:pPr>
            <w:r w:rsidRPr="00BA5143">
              <w:rPr>
                <w:b/>
                <w:bCs/>
                <w:sz w:val="20"/>
                <w:lang w:val="en-US"/>
              </w:rPr>
              <w:t>Notes</w:t>
            </w:r>
          </w:p>
        </w:tc>
        <w:tc>
          <w:tcPr>
            <w:tcW w:w="1360" w:type="dxa"/>
            <w:tcBorders>
              <w:top w:val="single" w:sz="4" w:space="0" w:color="auto"/>
              <w:left w:val="nil"/>
              <w:bottom w:val="single" w:sz="4" w:space="0" w:color="auto"/>
              <w:right w:val="single" w:sz="4" w:space="0" w:color="auto"/>
            </w:tcBorders>
            <w:noWrap/>
            <w:vAlign w:val="center"/>
          </w:tcPr>
          <w:p w:rsidR="00780A9A" w:rsidRPr="00BA5143" w:rsidRDefault="00780A9A" w:rsidP="00FF1157">
            <w:pPr>
              <w:spacing w:line="200" w:lineRule="exact"/>
              <w:jc w:val="center"/>
              <w:rPr>
                <w:b/>
                <w:bCs/>
                <w:sz w:val="20"/>
                <w:lang w:val="en-US"/>
              </w:rPr>
            </w:pPr>
            <w:r w:rsidRPr="00BA5143">
              <w:rPr>
                <w:b/>
                <w:bCs/>
                <w:sz w:val="20"/>
                <w:lang w:val="en-US"/>
              </w:rPr>
              <w:t>2018</w:t>
            </w:r>
          </w:p>
        </w:tc>
        <w:tc>
          <w:tcPr>
            <w:tcW w:w="1138" w:type="dxa"/>
            <w:tcBorders>
              <w:top w:val="single" w:sz="4" w:space="0" w:color="auto"/>
              <w:left w:val="nil"/>
              <w:bottom w:val="single" w:sz="4" w:space="0" w:color="auto"/>
              <w:right w:val="single" w:sz="4" w:space="0" w:color="auto"/>
            </w:tcBorders>
            <w:noWrap/>
            <w:vAlign w:val="center"/>
          </w:tcPr>
          <w:p w:rsidR="00780A9A" w:rsidRPr="00BA5143" w:rsidRDefault="00780A9A" w:rsidP="00FF1157">
            <w:pPr>
              <w:spacing w:line="200" w:lineRule="exact"/>
              <w:jc w:val="center"/>
              <w:rPr>
                <w:b/>
                <w:bCs/>
                <w:sz w:val="20"/>
                <w:lang w:val="en-US"/>
              </w:rPr>
            </w:pPr>
            <w:r w:rsidRPr="00BA5143">
              <w:rPr>
                <w:b/>
                <w:bCs/>
                <w:sz w:val="20"/>
                <w:lang w:val="en-US"/>
              </w:rPr>
              <w:t>2017</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Interest income</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18</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27 302</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9 939</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Interest expenses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18</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(4 831)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(7 037)</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b/>
                <w:bCs/>
                <w:sz w:val="20"/>
                <w:lang w:val="en-US"/>
              </w:rPr>
            </w:pPr>
            <w:r w:rsidRPr="00BA5143">
              <w:rPr>
                <w:b/>
                <w:bCs/>
                <w:sz w:val="20"/>
                <w:lang w:val="en-US"/>
              </w:rPr>
              <w:t>Net interest income / (Net interest expenses)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b/>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b/>
                <w:sz w:val="20"/>
                <w:lang w:val="en-US"/>
              </w:rPr>
            </w:pPr>
            <w:r w:rsidRPr="00BA5143">
              <w:rPr>
                <w:b/>
                <w:sz w:val="20"/>
                <w:lang w:val="en-US"/>
              </w:rPr>
              <w:t>22 471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b/>
                <w:sz w:val="20"/>
                <w:lang w:val="en-US"/>
              </w:rPr>
            </w:pPr>
            <w:r w:rsidRPr="00BA5143">
              <w:rPr>
                <w:b/>
                <w:sz w:val="20"/>
                <w:lang w:val="en-US"/>
              </w:rPr>
              <w:t>2 902</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Commission income</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19</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142</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208</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commission expenses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19</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(71)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(30)</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Net profit / (loss) on foreign exchange operations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30</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1</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Net profit / (loss) on foreign currency revaluation</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(34)</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32</w:t>
            </w:r>
          </w:p>
        </w:tc>
      </w:tr>
      <w:tr w:rsidR="00860BED" w:rsidRPr="00BA5143" w:rsidTr="00FF1157">
        <w:trPr>
          <w:trHeight w:val="128"/>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Net profit / (loss) Impairment of financial assets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(6)</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7</w:t>
            </w:r>
          </w:p>
        </w:tc>
      </w:tr>
      <w:tr w:rsidR="00860BED" w:rsidRPr="00BA5143" w:rsidTr="00FF1157">
        <w:trPr>
          <w:trHeight w:val="128"/>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Net (loss) / profit from (increase) / decrease in provisions for liabilities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12</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111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w:t>
            </w:r>
          </w:p>
        </w:tc>
      </w:tr>
      <w:tr w:rsidR="00860BED" w:rsidRPr="00BA5143" w:rsidTr="00FF1157">
        <w:trPr>
          <w:trHeight w:val="128"/>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Other operating income</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20</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5 925</w:t>
            </w:r>
          </w:p>
        </w:tc>
      </w:tr>
      <w:tr w:rsidR="00860BED" w:rsidRPr="00BA5143" w:rsidTr="00FF1157">
        <w:trPr>
          <w:trHeight w:val="128"/>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Expenses of employee benefits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21</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highlight w:val="yellow"/>
                <w:lang w:val="en-US"/>
              </w:rPr>
            </w:pPr>
            <w:r w:rsidRPr="00BA5143">
              <w:rPr>
                <w:sz w:val="20"/>
                <w:lang w:val="en-US"/>
              </w:rPr>
              <w:t>(10 168)</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(7 026)</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Depreciation and amortization expenses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21</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highlight w:val="yellow"/>
                <w:lang w:val="en-US"/>
              </w:rPr>
            </w:pPr>
            <w:r w:rsidRPr="00BA5143">
              <w:rPr>
                <w:sz w:val="20"/>
                <w:lang w:val="en-US"/>
              </w:rPr>
              <w:t>(712)</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(620)</w:t>
            </w:r>
          </w:p>
        </w:tc>
      </w:tr>
      <w:tr w:rsidR="00860BED" w:rsidRPr="00BA5143" w:rsidTr="00FF1157">
        <w:trPr>
          <w:trHeight w:val="255"/>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Administrative and other operating expenses</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r w:rsidRPr="00BA5143">
              <w:rPr>
                <w:sz w:val="20"/>
                <w:lang w:val="en-US"/>
              </w:rPr>
              <w:t>21</w:t>
            </w: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highlight w:val="yellow"/>
                <w:lang w:val="en-US"/>
              </w:rPr>
            </w:pPr>
            <w:r w:rsidRPr="00BA5143">
              <w:rPr>
                <w:sz w:val="20"/>
                <w:lang w:val="en-US"/>
              </w:rPr>
              <w:t>(3 612)</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(2 811)</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b/>
                <w:bCs/>
                <w:sz w:val="20"/>
                <w:lang w:val="en-US"/>
              </w:rPr>
            </w:pPr>
            <w:r w:rsidRPr="00BA5143">
              <w:rPr>
                <w:b/>
                <w:bCs/>
                <w:sz w:val="20"/>
                <w:lang w:val="en-US"/>
              </w:rPr>
              <w:t>Profit / (loss) before tax</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b/>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b/>
                <w:sz w:val="20"/>
                <w:highlight w:val="yellow"/>
                <w:lang w:val="en-US"/>
              </w:rPr>
            </w:pPr>
            <w:r w:rsidRPr="00BA5143">
              <w:rPr>
                <w:b/>
                <w:sz w:val="20"/>
                <w:lang w:val="en-US"/>
              </w:rPr>
              <w:t>8 151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b/>
                <w:sz w:val="20"/>
                <w:lang w:val="en-US"/>
              </w:rPr>
            </w:pPr>
            <w:r w:rsidRPr="00BA5143">
              <w:rPr>
                <w:b/>
                <w:sz w:val="20"/>
                <w:lang w:val="en-US"/>
              </w:rPr>
              <w:t>(1 412)</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Income tax expense</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sz w:val="20"/>
                <w:lang w:val="en-US"/>
              </w:rPr>
            </w:pPr>
            <w:r w:rsidRPr="00BA5143">
              <w:rPr>
                <w:sz w:val="20"/>
                <w:lang w:val="en-US"/>
              </w:rPr>
              <w:t>Profit / (loss) from ongoing activity</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8 151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sz w:val="20"/>
                <w:lang w:val="en-US"/>
              </w:rPr>
            </w:pPr>
            <w:r w:rsidRPr="00BA5143">
              <w:rPr>
                <w:sz w:val="20"/>
                <w:lang w:val="en-US"/>
              </w:rPr>
              <w:t>(1 412)</w:t>
            </w:r>
          </w:p>
        </w:tc>
      </w:tr>
      <w:tr w:rsidR="00860BED" w:rsidRPr="00BA5143" w:rsidTr="00FF1157">
        <w:trPr>
          <w:trHeight w:val="70"/>
        </w:trPr>
        <w:tc>
          <w:tcPr>
            <w:tcW w:w="5328" w:type="dxa"/>
            <w:tcBorders>
              <w:top w:val="nil"/>
              <w:left w:val="single" w:sz="4" w:space="0" w:color="auto"/>
              <w:bottom w:val="single" w:sz="4" w:space="0" w:color="auto"/>
              <w:right w:val="single" w:sz="4" w:space="0" w:color="auto"/>
            </w:tcBorders>
          </w:tcPr>
          <w:p w:rsidR="00860BED" w:rsidRPr="00BA5143" w:rsidRDefault="00860BED" w:rsidP="00860BED">
            <w:pPr>
              <w:rPr>
                <w:b/>
                <w:bCs/>
                <w:sz w:val="20"/>
                <w:lang w:val="en-US"/>
              </w:rPr>
            </w:pPr>
            <w:r w:rsidRPr="00BA5143">
              <w:rPr>
                <w:b/>
                <w:bCs/>
                <w:sz w:val="20"/>
                <w:lang w:val="en-US"/>
              </w:rPr>
              <w:t>Profit / (loss) per year</w:t>
            </w:r>
          </w:p>
        </w:tc>
        <w:tc>
          <w:tcPr>
            <w:tcW w:w="1119" w:type="dxa"/>
            <w:tcBorders>
              <w:top w:val="nil"/>
              <w:left w:val="nil"/>
              <w:bottom w:val="single" w:sz="4" w:space="0" w:color="auto"/>
              <w:right w:val="single" w:sz="4" w:space="0" w:color="auto"/>
            </w:tcBorders>
            <w:noWrap/>
          </w:tcPr>
          <w:p w:rsidR="00860BED" w:rsidRPr="00BA5143" w:rsidRDefault="00860BED" w:rsidP="00860BED">
            <w:pPr>
              <w:jc w:val="center"/>
              <w:rPr>
                <w:b/>
                <w:sz w:val="20"/>
                <w:lang w:val="en-US"/>
              </w:rPr>
            </w:pPr>
          </w:p>
        </w:tc>
        <w:tc>
          <w:tcPr>
            <w:tcW w:w="1360" w:type="dxa"/>
            <w:tcBorders>
              <w:top w:val="nil"/>
              <w:left w:val="nil"/>
              <w:bottom w:val="single" w:sz="4" w:space="0" w:color="auto"/>
              <w:right w:val="single" w:sz="4" w:space="0" w:color="auto"/>
            </w:tcBorders>
          </w:tcPr>
          <w:p w:rsidR="00860BED" w:rsidRPr="00BA5143" w:rsidRDefault="00860BED" w:rsidP="00860BED">
            <w:pPr>
              <w:jc w:val="right"/>
              <w:rPr>
                <w:b/>
                <w:sz w:val="20"/>
                <w:lang w:val="en-US"/>
              </w:rPr>
            </w:pPr>
            <w:r w:rsidRPr="00BA5143">
              <w:rPr>
                <w:b/>
                <w:sz w:val="20"/>
                <w:lang w:val="en-US"/>
              </w:rPr>
              <w:t>8 151</w:t>
            </w:r>
          </w:p>
        </w:tc>
        <w:tc>
          <w:tcPr>
            <w:tcW w:w="1138" w:type="dxa"/>
            <w:tcBorders>
              <w:top w:val="nil"/>
              <w:left w:val="nil"/>
              <w:bottom w:val="single" w:sz="4" w:space="0" w:color="auto"/>
              <w:right w:val="single" w:sz="4" w:space="0" w:color="auto"/>
            </w:tcBorders>
          </w:tcPr>
          <w:p w:rsidR="00860BED" w:rsidRPr="00BA5143" w:rsidRDefault="00860BED" w:rsidP="00860BED">
            <w:pPr>
              <w:jc w:val="right"/>
              <w:rPr>
                <w:b/>
                <w:sz w:val="20"/>
                <w:lang w:val="en-US"/>
              </w:rPr>
            </w:pPr>
            <w:r w:rsidRPr="00BA5143">
              <w:rPr>
                <w:b/>
                <w:sz w:val="20"/>
                <w:lang w:val="en-US"/>
              </w:rPr>
              <w:t>(1 412)</w:t>
            </w:r>
          </w:p>
        </w:tc>
      </w:tr>
      <w:tr w:rsidR="00A31973" w:rsidRPr="00BA5143" w:rsidTr="00FF1157">
        <w:trPr>
          <w:trHeight w:val="84"/>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Profit (loss) belonging to:</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to the owners of the bank</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8 151</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(1 412)</w:t>
            </w:r>
          </w:p>
        </w:tc>
      </w:tr>
      <w:tr w:rsidR="00A31973" w:rsidRPr="00BA5143" w:rsidTr="00FF1157">
        <w:trPr>
          <w:trHeight w:val="76"/>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uncontrollable share</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r>
      <w:tr w:rsidR="00A31973" w:rsidRPr="006C58AD"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Profit / (loss) per share from continuing operations:</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spacing w:line="200" w:lineRule="exact"/>
              <w:jc w:val="right"/>
              <w:rPr>
                <w:color w:val="FF0000"/>
                <w:sz w:val="20"/>
                <w:lang w:val="en-US"/>
              </w:rPr>
            </w:pPr>
          </w:p>
        </w:tc>
        <w:tc>
          <w:tcPr>
            <w:tcW w:w="1138" w:type="dxa"/>
            <w:tcBorders>
              <w:top w:val="nil"/>
              <w:left w:val="nil"/>
              <w:bottom w:val="single" w:sz="4" w:space="0" w:color="auto"/>
              <w:right w:val="single" w:sz="4" w:space="0" w:color="auto"/>
            </w:tcBorders>
          </w:tcPr>
          <w:p w:rsidR="00A31973" w:rsidRPr="00BA5143" w:rsidRDefault="00A31973" w:rsidP="00A31973">
            <w:pPr>
              <w:spacing w:line="200" w:lineRule="exact"/>
              <w:jc w:val="right"/>
              <w:rPr>
                <w:color w:val="FF0000"/>
                <w:sz w:val="20"/>
                <w:lang w:val="en-US"/>
              </w:rPr>
            </w:pP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net profit / (loss) per one ordinary share, UAH</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r w:rsidRPr="00BA5143">
              <w:rPr>
                <w:sz w:val="20"/>
                <w:lang w:val="en-US"/>
              </w:rPr>
              <w:t>23</w:t>
            </w: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16,70</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(5,33)</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adjusted net profit / (loss) per one ordinary share, UAH</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16,70</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(5,33)</w:t>
            </w:r>
          </w:p>
        </w:tc>
      </w:tr>
      <w:tr w:rsidR="00A31973" w:rsidRPr="006C58AD" w:rsidTr="00FF1157">
        <w:trPr>
          <w:trHeight w:val="255"/>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Profit / (loss) per share belonging to the owners of the bank:</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spacing w:line="200" w:lineRule="exact"/>
              <w:jc w:val="right"/>
              <w:rPr>
                <w:color w:val="FF0000"/>
                <w:sz w:val="20"/>
                <w:lang w:val="en-US"/>
              </w:rPr>
            </w:pPr>
          </w:p>
        </w:tc>
        <w:tc>
          <w:tcPr>
            <w:tcW w:w="1138" w:type="dxa"/>
            <w:tcBorders>
              <w:top w:val="nil"/>
              <w:left w:val="nil"/>
              <w:bottom w:val="single" w:sz="4" w:space="0" w:color="auto"/>
              <w:right w:val="single" w:sz="4" w:space="0" w:color="auto"/>
            </w:tcBorders>
          </w:tcPr>
          <w:p w:rsidR="00A31973" w:rsidRPr="00BA5143" w:rsidRDefault="00A31973" w:rsidP="00A31973">
            <w:pPr>
              <w:spacing w:line="200" w:lineRule="exact"/>
              <w:jc w:val="right"/>
              <w:rPr>
                <w:color w:val="FF0000"/>
                <w:sz w:val="20"/>
                <w:lang w:val="en-US"/>
              </w:rPr>
            </w:pPr>
          </w:p>
        </w:tc>
      </w:tr>
      <w:tr w:rsidR="00A31973" w:rsidRPr="00BA5143" w:rsidTr="00FF1157">
        <w:trPr>
          <w:trHeight w:val="255"/>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net profit / (loss) per one ordinary share for the year, UAH</w:t>
            </w:r>
          </w:p>
        </w:tc>
        <w:tc>
          <w:tcPr>
            <w:tcW w:w="1119" w:type="dxa"/>
            <w:tcBorders>
              <w:top w:val="nil"/>
              <w:left w:val="nil"/>
              <w:bottom w:val="single" w:sz="4" w:space="0" w:color="auto"/>
              <w:right w:val="single" w:sz="4" w:space="0" w:color="auto"/>
            </w:tcBorders>
            <w:noWrap/>
            <w:vAlign w:val="bottom"/>
          </w:tcPr>
          <w:p w:rsidR="00A31973" w:rsidRPr="00BA5143" w:rsidRDefault="00A31973" w:rsidP="00A31973">
            <w:pPr>
              <w:jc w:val="center"/>
              <w:rPr>
                <w:sz w:val="20"/>
                <w:lang w:val="en-US"/>
              </w:rPr>
            </w:pPr>
            <w:r w:rsidRPr="00BA5143">
              <w:rPr>
                <w:sz w:val="20"/>
                <w:lang w:val="en-US"/>
              </w:rPr>
              <w:t>23</w:t>
            </w:r>
          </w:p>
        </w:tc>
        <w:tc>
          <w:tcPr>
            <w:tcW w:w="1360" w:type="dxa"/>
            <w:tcBorders>
              <w:top w:val="nil"/>
              <w:left w:val="nil"/>
              <w:bottom w:val="single" w:sz="4" w:space="0" w:color="auto"/>
              <w:right w:val="single" w:sz="4" w:space="0" w:color="auto"/>
            </w:tcBorders>
            <w:noWrap/>
          </w:tcPr>
          <w:p w:rsidR="00A31973" w:rsidRPr="00BA5143" w:rsidRDefault="00A31973" w:rsidP="00A31973">
            <w:pPr>
              <w:jc w:val="right"/>
              <w:rPr>
                <w:sz w:val="20"/>
                <w:lang w:val="en-US"/>
              </w:rPr>
            </w:pPr>
            <w:r w:rsidRPr="00BA5143">
              <w:rPr>
                <w:sz w:val="20"/>
                <w:lang w:val="en-US"/>
              </w:rPr>
              <w:t>16,70</w:t>
            </w:r>
          </w:p>
        </w:tc>
        <w:tc>
          <w:tcPr>
            <w:tcW w:w="1138" w:type="dxa"/>
            <w:tcBorders>
              <w:top w:val="nil"/>
              <w:left w:val="nil"/>
              <w:bottom w:val="single" w:sz="4" w:space="0" w:color="auto"/>
              <w:right w:val="single" w:sz="4" w:space="0" w:color="auto"/>
            </w:tcBorders>
            <w:noWrap/>
          </w:tcPr>
          <w:p w:rsidR="00A31973" w:rsidRPr="00BA5143" w:rsidRDefault="00A31973" w:rsidP="00A31973">
            <w:pPr>
              <w:jc w:val="right"/>
              <w:rPr>
                <w:sz w:val="20"/>
                <w:lang w:val="en-US"/>
              </w:rPr>
            </w:pPr>
            <w:r w:rsidRPr="00BA5143">
              <w:rPr>
                <w:sz w:val="20"/>
                <w:lang w:val="en-US"/>
              </w:rPr>
              <w:t>(5,33)</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sz w:val="20"/>
                <w:lang w:val="en-US"/>
              </w:rPr>
            </w:pPr>
            <w:r w:rsidRPr="00BA5143">
              <w:rPr>
                <w:sz w:val="20"/>
                <w:lang w:val="en-US"/>
              </w:rPr>
              <w:t>adjusted net profit / (loss) per ordinary share for the year, UAH</w:t>
            </w:r>
          </w:p>
        </w:tc>
        <w:tc>
          <w:tcPr>
            <w:tcW w:w="1119" w:type="dxa"/>
            <w:tcBorders>
              <w:top w:val="nil"/>
              <w:left w:val="nil"/>
              <w:bottom w:val="single" w:sz="4" w:space="0" w:color="auto"/>
              <w:right w:val="single" w:sz="4" w:space="0" w:color="auto"/>
            </w:tcBorders>
            <w:noWrap/>
            <w:vAlign w:val="bottom"/>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noWrap/>
          </w:tcPr>
          <w:p w:rsidR="00A31973" w:rsidRPr="00BA5143" w:rsidRDefault="00A31973" w:rsidP="00A31973">
            <w:pPr>
              <w:jc w:val="right"/>
              <w:rPr>
                <w:sz w:val="20"/>
                <w:lang w:val="en-US"/>
              </w:rPr>
            </w:pPr>
            <w:r w:rsidRPr="00BA5143">
              <w:rPr>
                <w:sz w:val="20"/>
                <w:lang w:val="en-US"/>
              </w:rPr>
              <w:t>16,70</w:t>
            </w:r>
          </w:p>
        </w:tc>
        <w:tc>
          <w:tcPr>
            <w:tcW w:w="1138" w:type="dxa"/>
            <w:tcBorders>
              <w:top w:val="nil"/>
              <w:left w:val="nil"/>
              <w:bottom w:val="single" w:sz="4" w:space="0" w:color="auto"/>
              <w:right w:val="single" w:sz="4" w:space="0" w:color="auto"/>
            </w:tcBorders>
            <w:noWrap/>
          </w:tcPr>
          <w:p w:rsidR="00A31973" w:rsidRPr="00BA5143" w:rsidRDefault="00A31973" w:rsidP="00A31973">
            <w:pPr>
              <w:jc w:val="right"/>
              <w:rPr>
                <w:sz w:val="20"/>
                <w:lang w:val="en-US"/>
              </w:rPr>
            </w:pPr>
            <w:r w:rsidRPr="00BA5143">
              <w:rPr>
                <w:sz w:val="20"/>
                <w:lang w:val="en-US"/>
              </w:rPr>
              <w:t>(5,33)</w:t>
            </w:r>
          </w:p>
        </w:tc>
      </w:tr>
    </w:tbl>
    <w:p w:rsidR="00860BED" w:rsidRPr="00BA5143" w:rsidRDefault="00860BED" w:rsidP="00860BED">
      <w:pPr>
        <w:pStyle w:val="a4"/>
        <w:spacing w:after="120" w:afterAutospacing="0" w:line="240" w:lineRule="exact"/>
        <w:jc w:val="both"/>
        <w:rPr>
          <w:color w:val="000000"/>
          <w:sz w:val="20"/>
          <w:szCs w:val="20"/>
          <w:lang w:val="en-US"/>
        </w:rPr>
      </w:pPr>
      <w:r w:rsidRPr="00BA5143">
        <w:rPr>
          <w:color w:val="000000"/>
          <w:sz w:val="20"/>
          <w:szCs w:val="20"/>
          <w:lang w:val="en-US"/>
        </w:rPr>
        <w:t>The notes on pages 8-6</w:t>
      </w:r>
      <w:r w:rsidR="00B3678C">
        <w:rPr>
          <w:color w:val="000000"/>
          <w:sz w:val="20"/>
          <w:szCs w:val="20"/>
          <w:lang w:val="en-US"/>
        </w:rPr>
        <w:t>5</w:t>
      </w:r>
      <w:r w:rsidRPr="00BA5143">
        <w:rPr>
          <w:color w:val="000000"/>
          <w:sz w:val="20"/>
          <w:szCs w:val="20"/>
          <w:lang w:val="en-US"/>
        </w:rPr>
        <w:t xml:space="preserve"> are an integral part of the financial statements of the Bank for 2018.</w:t>
      </w:r>
    </w:p>
    <w:p w:rsidR="00860BED" w:rsidRPr="00BA5143" w:rsidRDefault="00860BED" w:rsidP="00860BED">
      <w:pPr>
        <w:pStyle w:val="a4"/>
        <w:tabs>
          <w:tab w:val="left" w:pos="3969"/>
          <w:tab w:val="left" w:pos="4111"/>
        </w:tabs>
        <w:spacing w:after="120" w:line="240" w:lineRule="exact"/>
        <w:jc w:val="both"/>
        <w:rPr>
          <w:color w:val="000000"/>
          <w:lang w:val="en-US"/>
        </w:rPr>
      </w:pPr>
      <w:r w:rsidRPr="00BA5143">
        <w:rPr>
          <w:color w:val="000000"/>
          <w:lang w:val="en-US"/>
        </w:rPr>
        <w:t>Approved for issue and signed</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March 18, 2019</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 xml:space="preserve">Chairman                                            </w:t>
      </w:r>
      <w:r w:rsidRPr="00BA5143">
        <w:rPr>
          <w:color w:val="000000"/>
          <w:lang w:val="en-US"/>
        </w:rPr>
        <w:tab/>
        <w:t xml:space="preserve">                  О. Loktionov </w:t>
      </w:r>
    </w:p>
    <w:p w:rsidR="00860BED" w:rsidRPr="00BA5143" w:rsidRDefault="00860BED" w:rsidP="00860BED">
      <w:pPr>
        <w:pStyle w:val="a4"/>
        <w:tabs>
          <w:tab w:val="left" w:pos="4111"/>
        </w:tabs>
        <w:spacing w:before="0" w:beforeAutospacing="0" w:after="0" w:afterAutospacing="0" w:line="240" w:lineRule="exact"/>
        <w:jc w:val="both"/>
        <w:rPr>
          <w:color w:val="000000"/>
          <w:lang w:val="en-US"/>
        </w:rPr>
      </w:pPr>
      <w:r w:rsidRPr="00BA5143">
        <w:rPr>
          <w:color w:val="000000"/>
          <w:lang w:val="en-US"/>
        </w:rPr>
        <w:t>Chief a</w:t>
      </w:r>
      <w:r w:rsidR="00201937" w:rsidRPr="00BA5143">
        <w:rPr>
          <w:color w:val="000000"/>
          <w:lang w:val="en-US"/>
        </w:rPr>
        <w:t>ccountant</w:t>
      </w:r>
      <w:r w:rsidRPr="00BA5143">
        <w:rPr>
          <w:color w:val="000000"/>
          <w:lang w:val="en-US"/>
        </w:rPr>
        <w:t xml:space="preserve"> </w:t>
      </w:r>
      <w:r w:rsidRPr="00BA5143">
        <w:rPr>
          <w:color w:val="000000"/>
          <w:lang w:val="en-US"/>
        </w:rPr>
        <w:tab/>
      </w:r>
      <w:r w:rsidRPr="00BA5143">
        <w:rPr>
          <w:color w:val="000000"/>
          <w:lang w:val="en-US"/>
        </w:rPr>
        <w:tab/>
      </w:r>
      <w:r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Pr="00BA5143">
        <w:rPr>
          <w:color w:val="000000"/>
          <w:lang w:val="en-US"/>
        </w:rPr>
        <w:t xml:space="preserve"> </w:t>
      </w:r>
    </w:p>
    <w:p w:rsidR="00860BED" w:rsidRPr="00BA5143" w:rsidRDefault="00860BED" w:rsidP="00860BED">
      <w:pPr>
        <w:pStyle w:val="a4"/>
        <w:tabs>
          <w:tab w:val="left" w:pos="4111"/>
        </w:tabs>
        <w:spacing w:before="0" w:beforeAutospacing="0" w:after="0" w:afterAutospacing="0" w:line="240" w:lineRule="exact"/>
        <w:jc w:val="both"/>
        <w:rPr>
          <w:color w:val="000000"/>
          <w:sz w:val="20"/>
          <w:szCs w:val="20"/>
          <w:u w:val="single"/>
          <w:lang w:val="en-US"/>
        </w:rPr>
      </w:pPr>
      <w:r w:rsidRPr="00BA5143">
        <w:rPr>
          <w:color w:val="000000"/>
          <w:sz w:val="20"/>
          <w:szCs w:val="20"/>
          <w:u w:val="single"/>
          <w:lang w:val="en-US"/>
        </w:rPr>
        <w:t xml:space="preserve">N. </w:t>
      </w:r>
      <w:proofErr w:type="spellStart"/>
      <w:r w:rsidRPr="00BA5143">
        <w:rPr>
          <w:color w:val="000000"/>
          <w:sz w:val="20"/>
          <w:szCs w:val="20"/>
          <w:u w:val="single"/>
          <w:lang w:val="en-US"/>
        </w:rPr>
        <w:t>Zelen</w:t>
      </w:r>
      <w:r w:rsidR="006C58AD">
        <w:rPr>
          <w:color w:val="000000"/>
          <w:sz w:val="20"/>
          <w:szCs w:val="20"/>
          <w:u w:val="single"/>
          <w:lang w:val="en-US"/>
        </w:rPr>
        <w:t>i</w:t>
      </w:r>
      <w:r w:rsidRPr="00BA5143">
        <w:rPr>
          <w:color w:val="000000"/>
          <w:sz w:val="20"/>
          <w:szCs w:val="20"/>
          <w:u w:val="single"/>
          <w:lang w:val="en-US"/>
        </w:rPr>
        <w:t>uk</w:t>
      </w:r>
      <w:proofErr w:type="spellEnd"/>
      <w:r w:rsidRPr="00BA5143">
        <w:rPr>
          <w:color w:val="000000"/>
          <w:sz w:val="20"/>
          <w:szCs w:val="20"/>
          <w:u w:val="single"/>
          <w:lang w:val="en-US"/>
        </w:rPr>
        <w:t xml:space="preserve"> tel. 454 27 00  </w:t>
      </w:r>
    </w:p>
    <w:p w:rsidR="00860BED" w:rsidRPr="00BA5143" w:rsidRDefault="00860BED" w:rsidP="00860BED">
      <w:pPr>
        <w:pStyle w:val="a4"/>
        <w:tabs>
          <w:tab w:val="left" w:pos="4111"/>
        </w:tabs>
        <w:spacing w:before="0" w:beforeAutospacing="0" w:after="0" w:afterAutospacing="0" w:line="240" w:lineRule="exact"/>
        <w:jc w:val="both"/>
        <w:rPr>
          <w:color w:val="000000"/>
          <w:vertAlign w:val="superscript"/>
          <w:lang w:val="en-US"/>
        </w:rPr>
      </w:pPr>
      <w:r w:rsidRPr="00BA5143">
        <w:rPr>
          <w:color w:val="000000"/>
          <w:vertAlign w:val="superscript"/>
          <w:lang w:val="en-US"/>
        </w:rPr>
        <w:t>(performer surname, phone number)</w:t>
      </w:r>
    </w:p>
    <w:p w:rsidR="00680771" w:rsidRPr="00BA5143" w:rsidRDefault="00680771"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680771" w:rsidRPr="00BA5143" w:rsidRDefault="00680771"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676ED2" w:rsidRPr="00BA5143" w:rsidRDefault="00676ED2"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FF1157" w:rsidRPr="00BA5143" w:rsidRDefault="00FF1157"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FF1157" w:rsidRPr="00BA5143" w:rsidRDefault="00FF1157"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7E4A3C" w:rsidRPr="00BA5143" w:rsidRDefault="007E4A3C"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676ED2" w:rsidRPr="00BA5143" w:rsidRDefault="00676ED2"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4074A0" w:rsidRPr="00BA5143" w:rsidRDefault="004074A0" w:rsidP="004074A0">
      <w:pPr>
        <w:pStyle w:val="a4"/>
        <w:spacing w:before="0" w:beforeAutospacing="0" w:after="0" w:afterAutospacing="0" w:line="240" w:lineRule="exact"/>
        <w:jc w:val="center"/>
        <w:rPr>
          <w:b/>
          <w:highlight w:val="yellow"/>
          <w:lang w:val="en-US"/>
        </w:rPr>
      </w:pPr>
    </w:p>
    <w:p w:rsidR="007E4A3C" w:rsidRPr="00BA5143" w:rsidRDefault="007E4A3C" w:rsidP="00B81787">
      <w:pPr>
        <w:spacing w:line="200" w:lineRule="exact"/>
        <w:jc w:val="center"/>
        <w:rPr>
          <w:b/>
          <w:lang w:val="en-US"/>
        </w:rPr>
      </w:pPr>
    </w:p>
    <w:p w:rsidR="007E4A3C" w:rsidRPr="00BA5143" w:rsidRDefault="007E4A3C" w:rsidP="00B81787">
      <w:pPr>
        <w:spacing w:line="200" w:lineRule="exact"/>
        <w:jc w:val="center"/>
        <w:rPr>
          <w:b/>
          <w:lang w:val="en-US"/>
        </w:rPr>
      </w:pPr>
    </w:p>
    <w:p w:rsidR="00A31973" w:rsidRPr="00BA5143" w:rsidRDefault="00A31973" w:rsidP="00B81787">
      <w:pPr>
        <w:spacing w:line="200" w:lineRule="exact"/>
        <w:jc w:val="center"/>
        <w:rPr>
          <w:b/>
          <w:lang w:val="en-US"/>
        </w:rPr>
      </w:pPr>
    </w:p>
    <w:p w:rsidR="00A31973" w:rsidRPr="00BA5143" w:rsidRDefault="00A31973" w:rsidP="00B81787">
      <w:pPr>
        <w:spacing w:line="200" w:lineRule="exact"/>
        <w:jc w:val="center"/>
        <w:rPr>
          <w:b/>
          <w:lang w:val="en-US"/>
        </w:rPr>
      </w:pPr>
    </w:p>
    <w:p w:rsidR="00201937" w:rsidRPr="00BA5143" w:rsidRDefault="00201937" w:rsidP="00A31973">
      <w:pPr>
        <w:spacing w:line="200" w:lineRule="exact"/>
        <w:jc w:val="center"/>
        <w:rPr>
          <w:b/>
          <w:lang w:val="en-US"/>
        </w:rPr>
      </w:pPr>
    </w:p>
    <w:p w:rsidR="00201937" w:rsidRPr="00BA5143" w:rsidRDefault="00201937" w:rsidP="00A31973">
      <w:pPr>
        <w:spacing w:line="200" w:lineRule="exact"/>
        <w:jc w:val="center"/>
        <w:rPr>
          <w:b/>
          <w:lang w:val="en-US"/>
        </w:rPr>
      </w:pPr>
    </w:p>
    <w:p w:rsidR="00201937" w:rsidRPr="00BA5143" w:rsidRDefault="00201937" w:rsidP="00A31973">
      <w:pPr>
        <w:spacing w:line="200" w:lineRule="exact"/>
        <w:jc w:val="center"/>
        <w:rPr>
          <w:b/>
          <w:lang w:val="en-US"/>
        </w:rPr>
      </w:pPr>
    </w:p>
    <w:p w:rsidR="00A31973" w:rsidRPr="00BA5143" w:rsidRDefault="00A31973" w:rsidP="00A31973">
      <w:pPr>
        <w:spacing w:line="200" w:lineRule="exact"/>
        <w:jc w:val="center"/>
        <w:rPr>
          <w:b/>
          <w:lang w:val="en-US"/>
        </w:rPr>
      </w:pPr>
      <w:r w:rsidRPr="00BA5143">
        <w:rPr>
          <w:b/>
          <w:lang w:val="en-US"/>
        </w:rPr>
        <w:lastRenderedPageBreak/>
        <w:t>COMPREHENSIVE INCOME STATEMENT</w:t>
      </w:r>
    </w:p>
    <w:p w:rsidR="00FF1157" w:rsidRPr="00BA5143" w:rsidRDefault="00A31973" w:rsidP="00A31973">
      <w:pPr>
        <w:spacing w:line="200" w:lineRule="exact"/>
        <w:jc w:val="center"/>
        <w:rPr>
          <w:lang w:val="en-US"/>
        </w:rPr>
      </w:pPr>
      <w:r w:rsidRPr="00BA5143">
        <w:rPr>
          <w:b/>
          <w:lang w:val="en-US"/>
        </w:rPr>
        <w:t>for 2018</w:t>
      </w:r>
    </w:p>
    <w:p w:rsidR="006E1FA7" w:rsidRPr="00BA5143" w:rsidRDefault="00FF1157" w:rsidP="006E1FA7">
      <w:pPr>
        <w:jc w:val="right"/>
        <w:rPr>
          <w:color w:val="000000"/>
          <w:sz w:val="20"/>
          <w:szCs w:val="20"/>
          <w:highlight w:val="yellow"/>
          <w:lang w:val="en-US"/>
        </w:rPr>
      </w:pPr>
      <w:r w:rsidRPr="00BA5143">
        <w:rPr>
          <w:lang w:val="en-US"/>
        </w:rPr>
        <w:t xml:space="preserve">                                                                                                                         </w:t>
      </w:r>
      <w:r w:rsidR="006E1FA7" w:rsidRPr="00BA5143">
        <w:rPr>
          <w:lang w:val="en-US"/>
        </w:rPr>
        <w:t>(ths.UAH.)</w:t>
      </w:r>
    </w:p>
    <w:p w:rsidR="00690986" w:rsidRPr="00BA5143" w:rsidRDefault="00690986" w:rsidP="00FF1157">
      <w:pPr>
        <w:spacing w:line="200" w:lineRule="exact"/>
        <w:jc w:val="center"/>
        <w:rPr>
          <w:b/>
          <w:lang w:val="en-US"/>
        </w:rPr>
      </w:pPr>
    </w:p>
    <w:tbl>
      <w:tblPr>
        <w:tblW w:w="8945" w:type="dxa"/>
        <w:tblLook w:val="00A0"/>
      </w:tblPr>
      <w:tblGrid>
        <w:gridCol w:w="5328"/>
        <w:gridCol w:w="1119"/>
        <w:gridCol w:w="1360"/>
        <w:gridCol w:w="1138"/>
      </w:tblGrid>
      <w:tr w:rsidR="00FF1157" w:rsidRPr="00BA5143" w:rsidTr="00FF1157">
        <w:trPr>
          <w:trHeight w:val="255"/>
        </w:trPr>
        <w:tc>
          <w:tcPr>
            <w:tcW w:w="5328" w:type="dxa"/>
            <w:tcBorders>
              <w:top w:val="single" w:sz="4" w:space="0" w:color="auto"/>
              <w:left w:val="single" w:sz="4" w:space="0" w:color="auto"/>
              <w:bottom w:val="single" w:sz="4" w:space="0" w:color="auto"/>
              <w:right w:val="single" w:sz="4" w:space="0" w:color="auto"/>
            </w:tcBorders>
            <w:vAlign w:val="center"/>
          </w:tcPr>
          <w:p w:rsidR="00FF1157" w:rsidRPr="00BA5143" w:rsidRDefault="00A31973" w:rsidP="00FF1157">
            <w:pPr>
              <w:spacing w:line="200" w:lineRule="exact"/>
              <w:jc w:val="center"/>
              <w:rPr>
                <w:b/>
                <w:bCs/>
                <w:sz w:val="20"/>
                <w:lang w:val="en-US"/>
              </w:rPr>
            </w:pPr>
            <w:r w:rsidRPr="00BA5143">
              <w:rPr>
                <w:b/>
                <w:bCs/>
                <w:sz w:val="20"/>
                <w:lang w:val="en-US"/>
              </w:rPr>
              <w:t>Item</w:t>
            </w:r>
          </w:p>
        </w:tc>
        <w:tc>
          <w:tcPr>
            <w:tcW w:w="1119" w:type="dxa"/>
            <w:tcBorders>
              <w:top w:val="single" w:sz="4" w:space="0" w:color="auto"/>
              <w:left w:val="nil"/>
              <w:bottom w:val="single" w:sz="4" w:space="0" w:color="auto"/>
              <w:right w:val="single" w:sz="4" w:space="0" w:color="auto"/>
            </w:tcBorders>
            <w:noWrap/>
            <w:vAlign w:val="center"/>
          </w:tcPr>
          <w:p w:rsidR="00FF1157" w:rsidRPr="00BA5143" w:rsidRDefault="00A31973" w:rsidP="00FF1157">
            <w:pPr>
              <w:spacing w:line="200" w:lineRule="exact"/>
              <w:jc w:val="center"/>
              <w:rPr>
                <w:b/>
                <w:bCs/>
                <w:sz w:val="20"/>
                <w:lang w:val="en-US"/>
              </w:rPr>
            </w:pPr>
            <w:r w:rsidRPr="00BA5143">
              <w:rPr>
                <w:b/>
                <w:bCs/>
                <w:sz w:val="20"/>
                <w:lang w:val="en-US"/>
              </w:rPr>
              <w:t>Notes</w:t>
            </w:r>
          </w:p>
        </w:tc>
        <w:tc>
          <w:tcPr>
            <w:tcW w:w="1360" w:type="dxa"/>
            <w:tcBorders>
              <w:top w:val="single" w:sz="4" w:space="0" w:color="auto"/>
              <w:left w:val="nil"/>
              <w:bottom w:val="single" w:sz="4" w:space="0" w:color="auto"/>
              <w:right w:val="single" w:sz="4" w:space="0" w:color="auto"/>
            </w:tcBorders>
            <w:noWrap/>
            <w:vAlign w:val="center"/>
          </w:tcPr>
          <w:p w:rsidR="00FF1157" w:rsidRPr="00BA5143" w:rsidRDefault="00FF1157" w:rsidP="00FF1157">
            <w:pPr>
              <w:spacing w:line="200" w:lineRule="exact"/>
              <w:jc w:val="center"/>
              <w:rPr>
                <w:b/>
                <w:bCs/>
                <w:sz w:val="20"/>
                <w:lang w:val="en-US"/>
              </w:rPr>
            </w:pPr>
            <w:r w:rsidRPr="00BA5143">
              <w:rPr>
                <w:b/>
                <w:bCs/>
                <w:sz w:val="20"/>
                <w:lang w:val="en-US"/>
              </w:rPr>
              <w:t>2018</w:t>
            </w:r>
          </w:p>
        </w:tc>
        <w:tc>
          <w:tcPr>
            <w:tcW w:w="1138" w:type="dxa"/>
            <w:tcBorders>
              <w:top w:val="single" w:sz="4" w:space="0" w:color="auto"/>
              <w:left w:val="nil"/>
              <w:bottom w:val="single" w:sz="4" w:space="0" w:color="auto"/>
              <w:right w:val="single" w:sz="4" w:space="0" w:color="auto"/>
            </w:tcBorders>
            <w:noWrap/>
            <w:vAlign w:val="center"/>
          </w:tcPr>
          <w:p w:rsidR="00FF1157" w:rsidRPr="00BA5143" w:rsidRDefault="00FF1157" w:rsidP="00FF1157">
            <w:pPr>
              <w:spacing w:line="200" w:lineRule="exact"/>
              <w:jc w:val="center"/>
              <w:rPr>
                <w:b/>
                <w:bCs/>
                <w:sz w:val="20"/>
                <w:lang w:val="en-US"/>
              </w:rPr>
            </w:pPr>
            <w:r w:rsidRPr="00BA5143">
              <w:rPr>
                <w:b/>
                <w:bCs/>
                <w:sz w:val="20"/>
                <w:lang w:val="en-US"/>
              </w:rPr>
              <w:t>2017</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b/>
                <w:bCs/>
                <w:lang w:val="en-US"/>
              </w:rPr>
            </w:pPr>
            <w:r w:rsidRPr="00BA5143">
              <w:rPr>
                <w:b/>
                <w:bCs/>
                <w:lang w:val="en-US"/>
              </w:rPr>
              <w:t>Profit / (loss) per year</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b/>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8 151</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(1 412)</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b/>
                <w:bCs/>
                <w:lang w:val="en-US"/>
              </w:rPr>
            </w:pPr>
            <w:r w:rsidRPr="00BA5143">
              <w:rPr>
                <w:b/>
                <w:bCs/>
                <w:lang w:val="en-US"/>
              </w:rPr>
              <w:t>OTHER COMPREHENSIVE INCOME</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b/>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 </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 </w:t>
            </w:r>
          </w:p>
        </w:tc>
      </w:tr>
      <w:tr w:rsidR="00A31973" w:rsidRPr="006C58AD"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lang w:val="en-US"/>
              </w:rPr>
            </w:pPr>
            <w:r w:rsidRPr="00BA5143">
              <w:rPr>
                <w:lang w:val="en-US"/>
              </w:rPr>
              <w:t xml:space="preserve">ARTICLE THAT WILL NOT BE RECLASSIFIED TO PROFIT OR LOSS </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p>
        </w:tc>
        <w:tc>
          <w:tcPr>
            <w:tcW w:w="1138" w:type="dxa"/>
            <w:tcBorders>
              <w:top w:val="single" w:sz="4" w:space="0" w:color="auto"/>
              <w:left w:val="nil"/>
              <w:bottom w:val="single" w:sz="4" w:space="0" w:color="auto"/>
              <w:right w:val="single" w:sz="4" w:space="0" w:color="auto"/>
            </w:tcBorders>
          </w:tcPr>
          <w:p w:rsidR="00A31973" w:rsidRPr="00BA5143" w:rsidRDefault="00A31973" w:rsidP="00A31973">
            <w:pPr>
              <w:jc w:val="right"/>
              <w:rPr>
                <w:sz w:val="20"/>
                <w:lang w:val="en-US"/>
              </w:rPr>
            </w:pP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lang w:val="en-US"/>
              </w:rPr>
            </w:pPr>
            <w:r w:rsidRPr="00BA5143">
              <w:rPr>
                <w:lang w:val="en-US"/>
              </w:rPr>
              <w:t>Correction result on transactions with shareholders</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r w:rsidRPr="00BA5143">
              <w:rPr>
                <w:sz w:val="20"/>
                <w:lang w:val="en-US"/>
              </w:rPr>
              <w:t>16</w:t>
            </w: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5 352</w:t>
            </w:r>
          </w:p>
        </w:tc>
        <w:tc>
          <w:tcPr>
            <w:tcW w:w="1138" w:type="dxa"/>
            <w:tcBorders>
              <w:top w:val="single" w:sz="4" w:space="0" w:color="auto"/>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b/>
                <w:bCs/>
                <w:lang w:val="en-US"/>
              </w:rPr>
            </w:pPr>
            <w:r w:rsidRPr="00BA5143">
              <w:rPr>
                <w:b/>
                <w:bCs/>
                <w:lang w:val="en-US"/>
              </w:rPr>
              <w:t>Other comprehensive income that will not be reclassified to profit or loss after tax</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b/>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5 352</w:t>
            </w:r>
          </w:p>
        </w:tc>
        <w:tc>
          <w:tcPr>
            <w:tcW w:w="1138" w:type="dxa"/>
            <w:tcBorders>
              <w:top w:val="single" w:sz="4" w:space="0" w:color="auto"/>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b/>
                <w:bCs/>
                <w:lang w:val="en-US"/>
              </w:rPr>
            </w:pPr>
            <w:r w:rsidRPr="00BA5143">
              <w:rPr>
                <w:b/>
                <w:bCs/>
                <w:lang w:val="en-US"/>
              </w:rPr>
              <w:t>Other comprehensive income after tax</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b/>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5 352</w:t>
            </w:r>
          </w:p>
        </w:tc>
        <w:tc>
          <w:tcPr>
            <w:tcW w:w="1138" w:type="dxa"/>
            <w:tcBorders>
              <w:top w:val="single" w:sz="4" w:space="0" w:color="auto"/>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b/>
                <w:bCs/>
                <w:lang w:val="en-US"/>
              </w:rPr>
            </w:pPr>
            <w:r w:rsidRPr="00BA5143">
              <w:rPr>
                <w:b/>
                <w:bCs/>
                <w:lang w:val="en-US"/>
              </w:rPr>
              <w:t>Total comprehensive income for the year</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b/>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13 503</w:t>
            </w:r>
          </w:p>
        </w:tc>
        <w:tc>
          <w:tcPr>
            <w:tcW w:w="1138" w:type="dxa"/>
            <w:tcBorders>
              <w:top w:val="single" w:sz="4" w:space="0" w:color="auto"/>
              <w:left w:val="nil"/>
              <w:bottom w:val="single" w:sz="4" w:space="0" w:color="auto"/>
              <w:right w:val="single" w:sz="4" w:space="0" w:color="auto"/>
            </w:tcBorders>
          </w:tcPr>
          <w:p w:rsidR="00A31973" w:rsidRPr="00BA5143" w:rsidRDefault="00A31973" w:rsidP="00A31973">
            <w:pPr>
              <w:jc w:val="right"/>
              <w:rPr>
                <w:b/>
                <w:sz w:val="20"/>
                <w:lang w:val="en-US"/>
              </w:rPr>
            </w:pPr>
            <w:r w:rsidRPr="00BA5143">
              <w:rPr>
                <w:b/>
                <w:sz w:val="20"/>
                <w:lang w:val="en-US"/>
              </w:rPr>
              <w:t>(1 412)</w:t>
            </w:r>
          </w:p>
        </w:tc>
      </w:tr>
      <w:tr w:rsidR="00A31973" w:rsidRPr="006C58AD"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lang w:val="en-US"/>
              </w:rPr>
            </w:pPr>
            <w:r w:rsidRPr="00BA5143">
              <w:rPr>
                <w:lang w:val="en-US"/>
              </w:rPr>
              <w:t>Total comprehensive income, which includes:</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p>
        </w:tc>
      </w:tr>
      <w:tr w:rsidR="00A31973" w:rsidRPr="00BA5143" w:rsidTr="00FF1157">
        <w:trPr>
          <w:trHeight w:val="82"/>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lang w:val="en-US"/>
              </w:rPr>
            </w:pPr>
            <w:r w:rsidRPr="00BA5143">
              <w:rPr>
                <w:lang w:val="en-US"/>
              </w:rPr>
              <w:t>to the owners of the bank</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13 503</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(1 412)</w:t>
            </w:r>
          </w:p>
        </w:tc>
      </w:tr>
      <w:tr w:rsidR="00A31973" w:rsidRPr="00BA5143" w:rsidTr="00FF1157">
        <w:trPr>
          <w:trHeight w:val="70"/>
        </w:trPr>
        <w:tc>
          <w:tcPr>
            <w:tcW w:w="5328" w:type="dxa"/>
            <w:tcBorders>
              <w:top w:val="nil"/>
              <w:left w:val="single" w:sz="4" w:space="0" w:color="auto"/>
              <w:bottom w:val="single" w:sz="4" w:space="0" w:color="auto"/>
              <w:right w:val="single" w:sz="4" w:space="0" w:color="auto"/>
            </w:tcBorders>
          </w:tcPr>
          <w:p w:rsidR="00A31973" w:rsidRPr="00BA5143" w:rsidRDefault="00A31973" w:rsidP="00A31973">
            <w:pPr>
              <w:rPr>
                <w:lang w:val="en-US"/>
              </w:rPr>
            </w:pPr>
            <w:r w:rsidRPr="00BA5143">
              <w:rPr>
                <w:lang w:val="en-US"/>
              </w:rPr>
              <w:t>uncontrollable share</w:t>
            </w:r>
          </w:p>
        </w:tc>
        <w:tc>
          <w:tcPr>
            <w:tcW w:w="1119" w:type="dxa"/>
            <w:tcBorders>
              <w:top w:val="nil"/>
              <w:left w:val="nil"/>
              <w:bottom w:val="single" w:sz="4" w:space="0" w:color="auto"/>
              <w:right w:val="single" w:sz="4" w:space="0" w:color="auto"/>
            </w:tcBorders>
            <w:noWrap/>
          </w:tcPr>
          <w:p w:rsidR="00A31973" w:rsidRPr="00BA5143" w:rsidRDefault="00A31973" w:rsidP="00A31973">
            <w:pPr>
              <w:jc w:val="center"/>
              <w:rPr>
                <w:sz w:val="20"/>
                <w:lang w:val="en-US"/>
              </w:rPr>
            </w:pPr>
          </w:p>
        </w:tc>
        <w:tc>
          <w:tcPr>
            <w:tcW w:w="1360"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c>
          <w:tcPr>
            <w:tcW w:w="1138" w:type="dxa"/>
            <w:tcBorders>
              <w:top w:val="nil"/>
              <w:left w:val="nil"/>
              <w:bottom w:val="single" w:sz="4" w:space="0" w:color="auto"/>
              <w:right w:val="single" w:sz="4" w:space="0" w:color="auto"/>
            </w:tcBorders>
          </w:tcPr>
          <w:p w:rsidR="00A31973" w:rsidRPr="00BA5143" w:rsidRDefault="00A31973" w:rsidP="00A31973">
            <w:pPr>
              <w:jc w:val="right"/>
              <w:rPr>
                <w:sz w:val="20"/>
                <w:lang w:val="en-US"/>
              </w:rPr>
            </w:pPr>
            <w:r w:rsidRPr="00BA5143">
              <w:rPr>
                <w:sz w:val="20"/>
                <w:lang w:val="en-US"/>
              </w:rPr>
              <w:t>- </w:t>
            </w:r>
          </w:p>
        </w:tc>
      </w:tr>
    </w:tbl>
    <w:p w:rsidR="00860BED" w:rsidRPr="00BA5143" w:rsidRDefault="00860BED" w:rsidP="00860BED">
      <w:pPr>
        <w:pStyle w:val="a4"/>
        <w:spacing w:after="120" w:afterAutospacing="0" w:line="240" w:lineRule="exact"/>
        <w:jc w:val="both"/>
        <w:rPr>
          <w:color w:val="000000"/>
          <w:sz w:val="20"/>
          <w:szCs w:val="20"/>
          <w:lang w:val="en-US"/>
        </w:rPr>
      </w:pPr>
      <w:r w:rsidRPr="00BA5143">
        <w:rPr>
          <w:color w:val="000000"/>
          <w:sz w:val="20"/>
          <w:szCs w:val="20"/>
          <w:lang w:val="en-US"/>
        </w:rPr>
        <w:t>The notes on pages 8-6</w:t>
      </w:r>
      <w:r w:rsidR="00B3678C">
        <w:rPr>
          <w:color w:val="000000"/>
          <w:sz w:val="20"/>
          <w:szCs w:val="20"/>
          <w:lang w:val="en-US"/>
        </w:rPr>
        <w:t>5</w:t>
      </w:r>
      <w:r w:rsidRPr="00BA5143">
        <w:rPr>
          <w:color w:val="000000"/>
          <w:sz w:val="20"/>
          <w:szCs w:val="20"/>
          <w:lang w:val="en-US"/>
        </w:rPr>
        <w:t xml:space="preserve"> are an integral part of the financial statements of the Bank for 2018.</w:t>
      </w:r>
    </w:p>
    <w:p w:rsidR="00860BED" w:rsidRPr="00BA5143" w:rsidRDefault="00860BED" w:rsidP="00860BED">
      <w:pPr>
        <w:pStyle w:val="a4"/>
        <w:tabs>
          <w:tab w:val="left" w:pos="3969"/>
          <w:tab w:val="left" w:pos="4111"/>
        </w:tabs>
        <w:spacing w:after="120" w:line="240" w:lineRule="exact"/>
        <w:jc w:val="both"/>
        <w:rPr>
          <w:color w:val="000000"/>
          <w:lang w:val="en-US"/>
        </w:rPr>
      </w:pPr>
      <w:r w:rsidRPr="00BA5143">
        <w:rPr>
          <w:color w:val="000000"/>
          <w:lang w:val="en-US"/>
        </w:rPr>
        <w:t>Approved for issue and signed</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March 18, 2019</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 xml:space="preserve">Chairman                                            </w:t>
      </w:r>
      <w:r w:rsidRPr="00BA5143">
        <w:rPr>
          <w:color w:val="000000"/>
          <w:lang w:val="en-US"/>
        </w:rPr>
        <w:tab/>
        <w:t xml:space="preserve">                  О. Loktionov </w:t>
      </w:r>
    </w:p>
    <w:p w:rsidR="00860BED" w:rsidRPr="00BA5143" w:rsidRDefault="00860BED" w:rsidP="00860BED">
      <w:pPr>
        <w:pStyle w:val="a4"/>
        <w:tabs>
          <w:tab w:val="left" w:pos="4111"/>
        </w:tabs>
        <w:spacing w:before="0" w:beforeAutospacing="0" w:after="0" w:afterAutospacing="0" w:line="240" w:lineRule="exact"/>
        <w:jc w:val="both"/>
        <w:rPr>
          <w:color w:val="000000"/>
          <w:lang w:val="en-US"/>
        </w:rPr>
      </w:pPr>
      <w:r w:rsidRPr="00BA5143">
        <w:rPr>
          <w:color w:val="000000"/>
          <w:lang w:val="en-US"/>
        </w:rPr>
        <w:t xml:space="preserve">Chief </w:t>
      </w:r>
      <w:r w:rsidR="00201937" w:rsidRPr="00BA5143">
        <w:rPr>
          <w:color w:val="000000"/>
          <w:lang w:val="en-US"/>
        </w:rPr>
        <w:t>accountant</w:t>
      </w:r>
      <w:r w:rsidR="006C58AD">
        <w:rPr>
          <w:color w:val="000000"/>
          <w:lang w:val="en-US"/>
        </w:rPr>
        <w:t xml:space="preserve">     </w:t>
      </w:r>
      <w:r w:rsidRPr="00BA5143">
        <w:rPr>
          <w:color w:val="000000"/>
          <w:lang w:val="en-US"/>
        </w:rPr>
        <w:tab/>
      </w:r>
      <w:r w:rsidRPr="00BA5143">
        <w:rPr>
          <w:color w:val="000000"/>
          <w:lang w:val="en-US"/>
        </w:rPr>
        <w:tab/>
      </w:r>
      <w:r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Pr="00BA5143">
        <w:rPr>
          <w:color w:val="000000"/>
          <w:lang w:val="en-US"/>
        </w:rPr>
        <w:t xml:space="preserve"> </w:t>
      </w:r>
    </w:p>
    <w:p w:rsidR="00860BED" w:rsidRPr="00BA5143" w:rsidRDefault="00860BED" w:rsidP="00860BED">
      <w:pPr>
        <w:pStyle w:val="a4"/>
        <w:tabs>
          <w:tab w:val="left" w:pos="4111"/>
        </w:tabs>
        <w:spacing w:before="0" w:beforeAutospacing="0" w:after="0" w:afterAutospacing="0" w:line="240" w:lineRule="exact"/>
        <w:jc w:val="both"/>
        <w:rPr>
          <w:color w:val="000000"/>
          <w:sz w:val="20"/>
          <w:szCs w:val="20"/>
          <w:u w:val="single"/>
          <w:lang w:val="en-US"/>
        </w:rPr>
      </w:pPr>
      <w:r w:rsidRPr="00BA5143">
        <w:rPr>
          <w:color w:val="000000"/>
          <w:sz w:val="20"/>
          <w:szCs w:val="20"/>
          <w:u w:val="single"/>
          <w:lang w:val="en-US"/>
        </w:rPr>
        <w:t xml:space="preserve">N. </w:t>
      </w:r>
      <w:proofErr w:type="spellStart"/>
      <w:r w:rsidRPr="00BA5143">
        <w:rPr>
          <w:color w:val="000000"/>
          <w:sz w:val="20"/>
          <w:szCs w:val="20"/>
          <w:u w:val="single"/>
          <w:lang w:val="en-US"/>
        </w:rPr>
        <w:t>Zelen</w:t>
      </w:r>
      <w:r w:rsidR="006C58AD">
        <w:rPr>
          <w:color w:val="000000"/>
          <w:sz w:val="20"/>
          <w:szCs w:val="20"/>
          <w:u w:val="single"/>
          <w:lang w:val="en-US"/>
        </w:rPr>
        <w:t>i</w:t>
      </w:r>
      <w:r w:rsidRPr="00BA5143">
        <w:rPr>
          <w:color w:val="000000"/>
          <w:sz w:val="20"/>
          <w:szCs w:val="20"/>
          <w:u w:val="single"/>
          <w:lang w:val="en-US"/>
        </w:rPr>
        <w:t>uk</w:t>
      </w:r>
      <w:proofErr w:type="spellEnd"/>
      <w:r w:rsidRPr="00BA5143">
        <w:rPr>
          <w:color w:val="000000"/>
          <w:sz w:val="20"/>
          <w:szCs w:val="20"/>
          <w:u w:val="single"/>
          <w:lang w:val="en-US"/>
        </w:rPr>
        <w:t xml:space="preserve"> tel. 454 27 00  </w:t>
      </w:r>
    </w:p>
    <w:p w:rsidR="00860BED" w:rsidRPr="00BA5143" w:rsidRDefault="00860BED" w:rsidP="00860BED">
      <w:pPr>
        <w:pStyle w:val="a4"/>
        <w:tabs>
          <w:tab w:val="left" w:pos="4111"/>
        </w:tabs>
        <w:spacing w:before="0" w:beforeAutospacing="0" w:after="0" w:afterAutospacing="0" w:line="240" w:lineRule="exact"/>
        <w:jc w:val="both"/>
        <w:rPr>
          <w:color w:val="000000"/>
          <w:vertAlign w:val="superscript"/>
          <w:lang w:val="en-US"/>
        </w:rPr>
      </w:pPr>
      <w:r w:rsidRPr="00BA5143">
        <w:rPr>
          <w:color w:val="000000"/>
          <w:vertAlign w:val="superscript"/>
          <w:lang w:val="en-US"/>
        </w:rPr>
        <w:t>(performer surname, phone number)</w:t>
      </w:r>
    </w:p>
    <w:p w:rsidR="006149CD" w:rsidRPr="00BA5143" w:rsidRDefault="006149CD" w:rsidP="006149CD">
      <w:pPr>
        <w:pStyle w:val="a4"/>
        <w:tabs>
          <w:tab w:val="left" w:pos="4111"/>
        </w:tabs>
        <w:spacing w:before="0" w:beforeAutospacing="0" w:after="0" w:afterAutospacing="0" w:line="240" w:lineRule="exact"/>
        <w:jc w:val="both"/>
        <w:rPr>
          <w:color w:val="000000"/>
          <w:vertAlign w:val="superscript"/>
          <w:lang w:val="en-US"/>
        </w:rPr>
      </w:pPr>
    </w:p>
    <w:p w:rsidR="00690986" w:rsidRPr="00BA5143" w:rsidRDefault="00690986" w:rsidP="004074A0">
      <w:pPr>
        <w:pStyle w:val="a4"/>
        <w:spacing w:before="0" w:beforeAutospacing="0" w:after="0" w:afterAutospacing="0" w:line="240" w:lineRule="exact"/>
        <w:jc w:val="center"/>
        <w:rPr>
          <w:b/>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149CD" w:rsidRPr="00BA5143" w:rsidRDefault="006149CD" w:rsidP="004074A0">
      <w:pPr>
        <w:pStyle w:val="a4"/>
        <w:spacing w:before="0" w:beforeAutospacing="0" w:after="0" w:afterAutospacing="0" w:line="240" w:lineRule="exact"/>
        <w:jc w:val="center"/>
        <w:rPr>
          <w:b/>
          <w:highlight w:val="yellow"/>
          <w:lang w:val="en-US"/>
        </w:rPr>
      </w:pPr>
    </w:p>
    <w:p w:rsidR="00690986" w:rsidRPr="00BA5143" w:rsidRDefault="00690986" w:rsidP="004074A0">
      <w:pPr>
        <w:pStyle w:val="a4"/>
        <w:spacing w:before="0" w:beforeAutospacing="0" w:after="0" w:afterAutospacing="0" w:line="240" w:lineRule="exact"/>
        <w:jc w:val="center"/>
        <w:rPr>
          <w:b/>
          <w:highlight w:val="yellow"/>
          <w:lang w:val="en-US"/>
        </w:rPr>
      </w:pPr>
    </w:p>
    <w:p w:rsidR="00ED23C5" w:rsidRPr="00BA5143" w:rsidRDefault="00ED23C5" w:rsidP="004074A0">
      <w:pPr>
        <w:pStyle w:val="a4"/>
        <w:spacing w:before="0" w:beforeAutospacing="0" w:after="0" w:afterAutospacing="0" w:line="240" w:lineRule="exact"/>
        <w:jc w:val="center"/>
        <w:rPr>
          <w:b/>
          <w:lang w:val="en-US"/>
        </w:rPr>
      </w:pPr>
    </w:p>
    <w:p w:rsidR="0050018C" w:rsidRPr="00BA5143" w:rsidRDefault="0050018C" w:rsidP="0050018C">
      <w:pPr>
        <w:pStyle w:val="a4"/>
        <w:spacing w:line="240" w:lineRule="exact"/>
        <w:jc w:val="center"/>
        <w:rPr>
          <w:b/>
          <w:lang w:val="en-US"/>
        </w:rPr>
      </w:pPr>
      <w:r w:rsidRPr="00BA5143">
        <w:rPr>
          <w:b/>
          <w:lang w:val="en-US"/>
        </w:rPr>
        <w:t>STATEMENT OF CHANGES IN EQUITY</w:t>
      </w:r>
    </w:p>
    <w:p w:rsidR="004074A0" w:rsidRPr="00BA5143" w:rsidRDefault="0050018C" w:rsidP="0050018C">
      <w:pPr>
        <w:pStyle w:val="a4"/>
        <w:spacing w:line="240" w:lineRule="exact"/>
        <w:jc w:val="center"/>
        <w:rPr>
          <w:b/>
          <w:lang w:val="en-US"/>
        </w:rPr>
      </w:pPr>
      <w:r w:rsidRPr="00BA5143">
        <w:rPr>
          <w:b/>
          <w:lang w:val="en-US"/>
        </w:rPr>
        <w:t>(Equity statement)</w:t>
      </w:r>
    </w:p>
    <w:p w:rsidR="004074A0" w:rsidRPr="00BA5143" w:rsidRDefault="006E1FA7" w:rsidP="006E1FA7">
      <w:pPr>
        <w:jc w:val="right"/>
        <w:rPr>
          <w:color w:val="000000"/>
          <w:sz w:val="20"/>
          <w:szCs w:val="20"/>
          <w:highlight w:val="yellow"/>
          <w:lang w:val="en-US"/>
        </w:rPr>
      </w:pPr>
      <w:r w:rsidRPr="00BA5143">
        <w:rPr>
          <w:lang w:val="en-US"/>
        </w:rPr>
        <w:t>(ths.UAH.)</w:t>
      </w:r>
    </w:p>
    <w:tbl>
      <w:tblPr>
        <w:tblW w:w="103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2471"/>
        <w:gridCol w:w="426"/>
        <w:gridCol w:w="992"/>
        <w:gridCol w:w="992"/>
        <w:gridCol w:w="867"/>
        <w:gridCol w:w="992"/>
        <w:gridCol w:w="931"/>
        <w:gridCol w:w="992"/>
        <w:gridCol w:w="992"/>
      </w:tblGrid>
      <w:tr w:rsidR="006B068D" w:rsidRPr="00BA5143" w:rsidTr="002F567A">
        <w:trPr>
          <w:trHeight w:val="345"/>
        </w:trPr>
        <w:tc>
          <w:tcPr>
            <w:tcW w:w="648" w:type="dxa"/>
            <w:vMerge w:val="restart"/>
            <w:textDirection w:val="btLr"/>
            <w:vAlign w:val="center"/>
          </w:tcPr>
          <w:p w:rsidR="006B068D" w:rsidRPr="00BA5143" w:rsidRDefault="0050018C" w:rsidP="002F567A">
            <w:pPr>
              <w:spacing w:line="200" w:lineRule="exact"/>
              <w:ind w:left="113" w:right="113"/>
              <w:jc w:val="center"/>
              <w:rPr>
                <w:sz w:val="20"/>
                <w:lang w:val="en-US"/>
              </w:rPr>
            </w:pPr>
            <w:r w:rsidRPr="00BA5143">
              <w:rPr>
                <w:sz w:val="20"/>
                <w:lang w:val="en-US"/>
              </w:rPr>
              <w:t>Line</w:t>
            </w:r>
          </w:p>
        </w:tc>
        <w:tc>
          <w:tcPr>
            <w:tcW w:w="2471" w:type="dxa"/>
            <w:vMerge w:val="restart"/>
            <w:vAlign w:val="center"/>
          </w:tcPr>
          <w:p w:rsidR="006B068D" w:rsidRPr="00BA5143" w:rsidRDefault="0050018C" w:rsidP="002F567A">
            <w:pPr>
              <w:spacing w:line="200" w:lineRule="exact"/>
              <w:jc w:val="center"/>
              <w:rPr>
                <w:sz w:val="20"/>
                <w:lang w:val="en-US"/>
              </w:rPr>
            </w:pPr>
            <w:r w:rsidRPr="00BA5143">
              <w:rPr>
                <w:sz w:val="20"/>
                <w:lang w:val="en-US"/>
              </w:rPr>
              <w:t>Item</w:t>
            </w:r>
            <w:r w:rsidR="006B068D" w:rsidRPr="00BA5143">
              <w:rPr>
                <w:sz w:val="20"/>
                <w:lang w:val="en-US"/>
              </w:rPr>
              <w:t> </w:t>
            </w:r>
          </w:p>
        </w:tc>
        <w:tc>
          <w:tcPr>
            <w:tcW w:w="426" w:type="dxa"/>
            <w:vMerge w:val="restart"/>
            <w:textDirection w:val="btLr"/>
            <w:vAlign w:val="center"/>
          </w:tcPr>
          <w:p w:rsidR="006B068D" w:rsidRPr="00BA5143" w:rsidRDefault="0050018C" w:rsidP="002F567A">
            <w:pPr>
              <w:spacing w:line="200" w:lineRule="exact"/>
              <w:ind w:left="113" w:right="113"/>
              <w:jc w:val="center"/>
              <w:rPr>
                <w:sz w:val="20"/>
                <w:lang w:val="en-US"/>
              </w:rPr>
            </w:pPr>
            <w:r w:rsidRPr="00BA5143">
              <w:rPr>
                <w:sz w:val="20"/>
                <w:lang w:val="en-US"/>
              </w:rPr>
              <w:t>Notes</w:t>
            </w:r>
            <w:r w:rsidR="006B068D" w:rsidRPr="00BA5143">
              <w:rPr>
                <w:sz w:val="20"/>
                <w:lang w:val="en-US"/>
              </w:rPr>
              <w:t> </w:t>
            </w:r>
          </w:p>
        </w:tc>
        <w:tc>
          <w:tcPr>
            <w:tcW w:w="5766" w:type="dxa"/>
            <w:gridSpan w:val="6"/>
          </w:tcPr>
          <w:p w:rsidR="006B068D" w:rsidRPr="00BA5143" w:rsidRDefault="00A011EF" w:rsidP="002F567A">
            <w:pPr>
              <w:spacing w:line="200" w:lineRule="exact"/>
              <w:jc w:val="center"/>
              <w:rPr>
                <w:sz w:val="20"/>
                <w:lang w:val="en-US"/>
              </w:rPr>
            </w:pPr>
            <w:r w:rsidRPr="00BA5143">
              <w:rPr>
                <w:sz w:val="20"/>
                <w:lang w:val="en-US"/>
              </w:rPr>
              <w:t>Owned by the shareholders of the bank</w:t>
            </w:r>
          </w:p>
        </w:tc>
        <w:tc>
          <w:tcPr>
            <w:tcW w:w="992" w:type="dxa"/>
            <w:vMerge w:val="restart"/>
            <w:vAlign w:val="center"/>
          </w:tcPr>
          <w:p w:rsidR="006B068D" w:rsidRPr="00BA5143" w:rsidRDefault="00A011EF" w:rsidP="002F567A">
            <w:pPr>
              <w:spacing w:line="200" w:lineRule="exact"/>
              <w:jc w:val="center"/>
              <w:rPr>
                <w:sz w:val="20"/>
                <w:lang w:val="en-US"/>
              </w:rPr>
            </w:pPr>
            <w:r w:rsidRPr="00BA5143">
              <w:rPr>
                <w:sz w:val="20"/>
                <w:lang w:val="en-US"/>
              </w:rPr>
              <w:t>Total equity</w:t>
            </w:r>
          </w:p>
        </w:tc>
      </w:tr>
      <w:tr w:rsidR="0050018C" w:rsidRPr="00BA5143" w:rsidTr="002F567A">
        <w:trPr>
          <w:trHeight w:val="1200"/>
        </w:trPr>
        <w:tc>
          <w:tcPr>
            <w:tcW w:w="648" w:type="dxa"/>
            <w:vMerge/>
            <w:vAlign w:val="center"/>
          </w:tcPr>
          <w:p w:rsidR="0050018C" w:rsidRPr="00BA5143" w:rsidRDefault="0050018C" w:rsidP="0050018C">
            <w:pPr>
              <w:spacing w:line="200" w:lineRule="exact"/>
              <w:rPr>
                <w:sz w:val="18"/>
                <w:szCs w:val="18"/>
                <w:lang w:val="en-US"/>
              </w:rPr>
            </w:pPr>
          </w:p>
        </w:tc>
        <w:tc>
          <w:tcPr>
            <w:tcW w:w="2471" w:type="dxa"/>
            <w:vMerge/>
            <w:vAlign w:val="center"/>
          </w:tcPr>
          <w:p w:rsidR="0050018C" w:rsidRPr="00BA5143" w:rsidRDefault="0050018C" w:rsidP="0050018C">
            <w:pPr>
              <w:spacing w:line="200" w:lineRule="exact"/>
              <w:rPr>
                <w:sz w:val="18"/>
                <w:szCs w:val="18"/>
                <w:lang w:val="en-US"/>
              </w:rPr>
            </w:pPr>
          </w:p>
        </w:tc>
        <w:tc>
          <w:tcPr>
            <w:tcW w:w="426" w:type="dxa"/>
            <w:vMerge/>
            <w:vAlign w:val="center"/>
          </w:tcPr>
          <w:p w:rsidR="0050018C" w:rsidRPr="00BA5143" w:rsidRDefault="0050018C" w:rsidP="0050018C">
            <w:pPr>
              <w:spacing w:line="200" w:lineRule="exact"/>
              <w:rPr>
                <w:sz w:val="18"/>
                <w:szCs w:val="18"/>
                <w:lang w:val="en-US"/>
              </w:rPr>
            </w:pPr>
          </w:p>
        </w:tc>
        <w:tc>
          <w:tcPr>
            <w:tcW w:w="992" w:type="dxa"/>
            <w:vAlign w:val="center"/>
          </w:tcPr>
          <w:p w:rsidR="0050018C" w:rsidRPr="00BA5143" w:rsidRDefault="0050018C" w:rsidP="0050018C">
            <w:pPr>
              <w:spacing w:line="200" w:lineRule="exact"/>
              <w:jc w:val="center"/>
              <w:rPr>
                <w:sz w:val="20"/>
                <w:lang w:val="en-US"/>
              </w:rPr>
            </w:pPr>
            <w:r w:rsidRPr="00BA5143">
              <w:rPr>
                <w:sz w:val="20"/>
                <w:lang w:val="en-US"/>
              </w:rPr>
              <w:t>Share capital </w:t>
            </w:r>
          </w:p>
        </w:tc>
        <w:tc>
          <w:tcPr>
            <w:tcW w:w="992" w:type="dxa"/>
          </w:tcPr>
          <w:p w:rsidR="0050018C" w:rsidRPr="00BA5143" w:rsidRDefault="0050018C" w:rsidP="0050018C">
            <w:pPr>
              <w:spacing w:line="200" w:lineRule="exact"/>
              <w:ind w:left="-111" w:right="-109"/>
              <w:jc w:val="center"/>
              <w:rPr>
                <w:sz w:val="20"/>
                <w:lang w:val="en-US"/>
              </w:rPr>
            </w:pPr>
            <w:r w:rsidRPr="00BA5143">
              <w:rPr>
                <w:sz w:val="20"/>
                <w:lang w:val="en-US"/>
              </w:rPr>
              <w:t>Emission differences and other additional capital</w:t>
            </w:r>
          </w:p>
        </w:tc>
        <w:tc>
          <w:tcPr>
            <w:tcW w:w="867" w:type="dxa"/>
            <w:vAlign w:val="center"/>
          </w:tcPr>
          <w:p w:rsidR="0050018C" w:rsidRPr="00BA5143" w:rsidRDefault="0050018C" w:rsidP="0050018C">
            <w:pPr>
              <w:spacing w:line="200" w:lineRule="exact"/>
              <w:jc w:val="center"/>
              <w:rPr>
                <w:sz w:val="20"/>
                <w:lang w:val="en-US"/>
              </w:rPr>
            </w:pPr>
            <w:r w:rsidRPr="00BA5143">
              <w:rPr>
                <w:sz w:val="20"/>
                <w:lang w:val="en-US"/>
              </w:rPr>
              <w:t>Reserve and other funds</w:t>
            </w:r>
          </w:p>
        </w:tc>
        <w:tc>
          <w:tcPr>
            <w:tcW w:w="992" w:type="dxa"/>
            <w:vAlign w:val="center"/>
          </w:tcPr>
          <w:p w:rsidR="0050018C" w:rsidRPr="00BA5143" w:rsidRDefault="0050018C" w:rsidP="0050018C">
            <w:pPr>
              <w:spacing w:line="200" w:lineRule="exact"/>
              <w:jc w:val="center"/>
              <w:rPr>
                <w:sz w:val="20"/>
                <w:lang w:val="en-US"/>
              </w:rPr>
            </w:pPr>
            <w:r w:rsidRPr="00BA5143">
              <w:rPr>
                <w:sz w:val="20"/>
                <w:lang w:val="en-US"/>
              </w:rPr>
              <w:t>Revaluation reserve</w:t>
            </w:r>
          </w:p>
        </w:tc>
        <w:tc>
          <w:tcPr>
            <w:tcW w:w="931" w:type="dxa"/>
            <w:vAlign w:val="center"/>
          </w:tcPr>
          <w:p w:rsidR="0050018C" w:rsidRPr="00BA5143" w:rsidRDefault="00A011EF" w:rsidP="00A011EF">
            <w:pPr>
              <w:spacing w:line="200" w:lineRule="exact"/>
              <w:ind w:left="-94" w:right="-37"/>
              <w:jc w:val="center"/>
              <w:rPr>
                <w:sz w:val="20"/>
                <w:lang w:val="en-US"/>
              </w:rPr>
            </w:pPr>
            <w:r w:rsidRPr="00BA5143">
              <w:rPr>
                <w:sz w:val="20"/>
                <w:lang w:val="en-US"/>
              </w:rPr>
              <w:t>U</w:t>
            </w:r>
            <w:r w:rsidR="0050018C" w:rsidRPr="00BA5143">
              <w:rPr>
                <w:sz w:val="20"/>
                <w:lang w:val="en-US"/>
              </w:rPr>
              <w:t>ndivided profit</w:t>
            </w:r>
          </w:p>
        </w:tc>
        <w:tc>
          <w:tcPr>
            <w:tcW w:w="992" w:type="dxa"/>
            <w:vAlign w:val="center"/>
          </w:tcPr>
          <w:p w:rsidR="0050018C" w:rsidRPr="00BA5143" w:rsidRDefault="00A011EF" w:rsidP="0050018C">
            <w:pPr>
              <w:spacing w:line="200" w:lineRule="exact"/>
              <w:jc w:val="center"/>
              <w:rPr>
                <w:sz w:val="20"/>
                <w:lang w:val="en-US"/>
              </w:rPr>
            </w:pPr>
            <w:r w:rsidRPr="00BA5143">
              <w:rPr>
                <w:sz w:val="20"/>
                <w:lang w:val="en-US"/>
              </w:rPr>
              <w:t>Total</w:t>
            </w:r>
            <w:r w:rsidR="0050018C" w:rsidRPr="00BA5143">
              <w:rPr>
                <w:sz w:val="20"/>
                <w:lang w:val="en-US"/>
              </w:rPr>
              <w:t> </w:t>
            </w:r>
          </w:p>
        </w:tc>
        <w:tc>
          <w:tcPr>
            <w:tcW w:w="992" w:type="dxa"/>
            <w:vMerge/>
            <w:vAlign w:val="center"/>
          </w:tcPr>
          <w:p w:rsidR="0050018C" w:rsidRPr="00BA5143" w:rsidRDefault="0050018C" w:rsidP="0050018C">
            <w:pPr>
              <w:spacing w:line="200" w:lineRule="exact"/>
              <w:rPr>
                <w:sz w:val="18"/>
                <w:szCs w:val="18"/>
                <w:lang w:val="en-US"/>
              </w:rPr>
            </w:pPr>
          </w:p>
        </w:tc>
      </w:tr>
      <w:tr w:rsidR="006B068D" w:rsidRPr="00BA5143" w:rsidTr="002F567A">
        <w:trPr>
          <w:trHeight w:val="70"/>
        </w:trPr>
        <w:tc>
          <w:tcPr>
            <w:tcW w:w="648"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1</w:t>
            </w:r>
          </w:p>
        </w:tc>
        <w:tc>
          <w:tcPr>
            <w:tcW w:w="2471"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2</w:t>
            </w:r>
          </w:p>
        </w:tc>
        <w:tc>
          <w:tcPr>
            <w:tcW w:w="426"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3</w:t>
            </w:r>
          </w:p>
        </w:tc>
        <w:tc>
          <w:tcPr>
            <w:tcW w:w="992"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4</w:t>
            </w:r>
          </w:p>
        </w:tc>
        <w:tc>
          <w:tcPr>
            <w:tcW w:w="992" w:type="dxa"/>
          </w:tcPr>
          <w:p w:rsidR="006B068D" w:rsidRPr="00BA5143" w:rsidRDefault="006B068D" w:rsidP="002F567A">
            <w:pPr>
              <w:spacing w:line="200" w:lineRule="exact"/>
              <w:jc w:val="center"/>
              <w:rPr>
                <w:bCs/>
                <w:sz w:val="18"/>
                <w:szCs w:val="18"/>
                <w:lang w:val="en-US"/>
              </w:rPr>
            </w:pPr>
            <w:r w:rsidRPr="00BA5143">
              <w:rPr>
                <w:bCs/>
                <w:sz w:val="18"/>
                <w:szCs w:val="18"/>
                <w:lang w:val="en-US"/>
              </w:rPr>
              <w:t>5</w:t>
            </w:r>
          </w:p>
        </w:tc>
        <w:tc>
          <w:tcPr>
            <w:tcW w:w="867"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6</w:t>
            </w:r>
          </w:p>
        </w:tc>
        <w:tc>
          <w:tcPr>
            <w:tcW w:w="992"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7</w:t>
            </w:r>
          </w:p>
        </w:tc>
        <w:tc>
          <w:tcPr>
            <w:tcW w:w="931"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8</w:t>
            </w:r>
          </w:p>
        </w:tc>
        <w:tc>
          <w:tcPr>
            <w:tcW w:w="992"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9</w:t>
            </w:r>
          </w:p>
        </w:tc>
        <w:tc>
          <w:tcPr>
            <w:tcW w:w="992" w:type="dxa"/>
            <w:vAlign w:val="center"/>
          </w:tcPr>
          <w:p w:rsidR="006B068D" w:rsidRPr="00BA5143" w:rsidRDefault="006B068D" w:rsidP="002F567A">
            <w:pPr>
              <w:spacing w:line="200" w:lineRule="exact"/>
              <w:jc w:val="center"/>
              <w:rPr>
                <w:bCs/>
                <w:sz w:val="18"/>
                <w:szCs w:val="18"/>
                <w:lang w:val="en-US"/>
              </w:rPr>
            </w:pPr>
            <w:r w:rsidRPr="00BA5143">
              <w:rPr>
                <w:bCs/>
                <w:sz w:val="18"/>
                <w:szCs w:val="18"/>
                <w:lang w:val="en-US"/>
              </w:rPr>
              <w:t>10</w:t>
            </w:r>
          </w:p>
        </w:tc>
      </w:tr>
      <w:tr w:rsidR="006B068D" w:rsidRPr="00BA5143" w:rsidTr="002F567A">
        <w:trPr>
          <w:trHeight w:val="435"/>
        </w:trPr>
        <w:tc>
          <w:tcPr>
            <w:tcW w:w="648" w:type="dxa"/>
            <w:vAlign w:val="bottom"/>
          </w:tcPr>
          <w:p w:rsidR="006B068D" w:rsidRPr="00BA5143" w:rsidRDefault="006B068D" w:rsidP="002F567A">
            <w:pPr>
              <w:spacing w:line="200" w:lineRule="exact"/>
              <w:jc w:val="center"/>
              <w:rPr>
                <w:b/>
                <w:bCs/>
                <w:sz w:val="18"/>
                <w:szCs w:val="18"/>
                <w:lang w:val="en-US"/>
              </w:rPr>
            </w:pPr>
            <w:r w:rsidRPr="00BA5143">
              <w:rPr>
                <w:b/>
                <w:bCs/>
                <w:sz w:val="18"/>
                <w:szCs w:val="18"/>
                <w:lang w:val="en-US"/>
              </w:rPr>
              <w:t>1</w:t>
            </w:r>
          </w:p>
        </w:tc>
        <w:tc>
          <w:tcPr>
            <w:tcW w:w="2471" w:type="dxa"/>
            <w:vAlign w:val="bottom"/>
          </w:tcPr>
          <w:p w:rsidR="006B068D" w:rsidRPr="00BA5143" w:rsidRDefault="00A011EF" w:rsidP="002F567A">
            <w:pPr>
              <w:spacing w:line="200" w:lineRule="exact"/>
              <w:rPr>
                <w:b/>
                <w:bCs/>
                <w:sz w:val="20"/>
                <w:lang w:val="en-US"/>
              </w:rPr>
            </w:pPr>
            <w:r w:rsidRPr="00BA5143">
              <w:rPr>
                <w:b/>
                <w:bCs/>
                <w:sz w:val="20"/>
                <w:lang w:val="en-US"/>
              </w:rPr>
              <w:t>Balance as of January 1, 2017</w:t>
            </w:r>
          </w:p>
        </w:tc>
        <w:tc>
          <w:tcPr>
            <w:tcW w:w="426" w:type="dxa"/>
            <w:vAlign w:val="bottom"/>
          </w:tcPr>
          <w:p w:rsidR="006B068D" w:rsidRPr="00BA5143" w:rsidRDefault="006B068D" w:rsidP="002F567A">
            <w:pPr>
              <w:spacing w:line="200" w:lineRule="exact"/>
              <w:rPr>
                <w:b/>
                <w:bCs/>
                <w:sz w:val="18"/>
                <w:szCs w:val="18"/>
                <w:lang w:val="en-US"/>
              </w:rPr>
            </w:pP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120 000</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(99)</w:t>
            </w:r>
          </w:p>
        </w:tc>
        <w:tc>
          <w:tcPr>
            <w:tcW w:w="867"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4 044</w:t>
            </w:r>
          </w:p>
        </w:tc>
        <w:tc>
          <w:tcPr>
            <w:tcW w:w="992" w:type="dxa"/>
          </w:tcPr>
          <w:p w:rsidR="006B068D" w:rsidRPr="00BA5143" w:rsidRDefault="00B527FD" w:rsidP="002F567A">
            <w:pPr>
              <w:spacing w:line="200" w:lineRule="exact"/>
              <w:jc w:val="right"/>
              <w:rPr>
                <w:b/>
                <w:bCs/>
                <w:sz w:val="18"/>
                <w:szCs w:val="18"/>
                <w:lang w:val="en-US"/>
              </w:rPr>
            </w:pPr>
            <w:r w:rsidRPr="00BA5143">
              <w:rPr>
                <w:b/>
                <w:bCs/>
                <w:sz w:val="18"/>
                <w:szCs w:val="18"/>
                <w:lang w:val="en-US"/>
              </w:rPr>
              <w:t>-</w:t>
            </w:r>
          </w:p>
        </w:tc>
        <w:tc>
          <w:tcPr>
            <w:tcW w:w="931"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(61 809)</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62 136</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62 136</w:t>
            </w:r>
          </w:p>
        </w:tc>
      </w:tr>
      <w:tr w:rsidR="006B068D" w:rsidRPr="00BA5143" w:rsidTr="002F567A">
        <w:trPr>
          <w:trHeight w:val="510"/>
        </w:trPr>
        <w:tc>
          <w:tcPr>
            <w:tcW w:w="648" w:type="dxa"/>
            <w:vAlign w:val="bottom"/>
          </w:tcPr>
          <w:p w:rsidR="006B068D" w:rsidRPr="00BA5143" w:rsidRDefault="006B068D" w:rsidP="002F567A">
            <w:pPr>
              <w:spacing w:line="200" w:lineRule="exact"/>
              <w:jc w:val="center"/>
              <w:rPr>
                <w:b/>
                <w:sz w:val="18"/>
                <w:szCs w:val="18"/>
                <w:lang w:val="en-US"/>
              </w:rPr>
            </w:pPr>
            <w:r w:rsidRPr="00BA5143">
              <w:rPr>
                <w:b/>
                <w:sz w:val="18"/>
                <w:szCs w:val="18"/>
                <w:lang w:val="en-US"/>
              </w:rPr>
              <w:t>2</w:t>
            </w:r>
          </w:p>
        </w:tc>
        <w:tc>
          <w:tcPr>
            <w:tcW w:w="2471" w:type="dxa"/>
            <w:vAlign w:val="bottom"/>
          </w:tcPr>
          <w:p w:rsidR="006B068D" w:rsidRPr="00BA5143" w:rsidRDefault="00A011EF" w:rsidP="002F567A">
            <w:pPr>
              <w:spacing w:line="200" w:lineRule="exact"/>
              <w:rPr>
                <w:b/>
                <w:sz w:val="20"/>
                <w:lang w:val="en-US"/>
              </w:rPr>
            </w:pPr>
            <w:r w:rsidRPr="00BA5143">
              <w:rPr>
                <w:b/>
                <w:sz w:val="20"/>
                <w:lang w:val="en-US"/>
              </w:rPr>
              <w:t>Adjusted balance at the beginning of the previous period 01.01.2017</w:t>
            </w:r>
          </w:p>
        </w:tc>
        <w:tc>
          <w:tcPr>
            <w:tcW w:w="426" w:type="dxa"/>
          </w:tcPr>
          <w:p w:rsidR="006B068D" w:rsidRPr="00BA5143" w:rsidRDefault="006B068D" w:rsidP="002F567A">
            <w:pPr>
              <w:spacing w:line="200" w:lineRule="exact"/>
              <w:jc w:val="center"/>
              <w:rPr>
                <w:sz w:val="18"/>
                <w:szCs w:val="18"/>
                <w:lang w:val="en-US"/>
              </w:rPr>
            </w:pP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120 000</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(99)</w:t>
            </w:r>
          </w:p>
        </w:tc>
        <w:tc>
          <w:tcPr>
            <w:tcW w:w="867"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4 044</w:t>
            </w:r>
          </w:p>
        </w:tc>
        <w:tc>
          <w:tcPr>
            <w:tcW w:w="992" w:type="dxa"/>
          </w:tcPr>
          <w:p w:rsidR="006B068D" w:rsidRPr="00BA5143" w:rsidRDefault="00B527FD" w:rsidP="002F567A">
            <w:pPr>
              <w:spacing w:line="200" w:lineRule="exact"/>
              <w:jc w:val="right"/>
              <w:rPr>
                <w:b/>
                <w:bCs/>
                <w:sz w:val="18"/>
                <w:szCs w:val="18"/>
                <w:lang w:val="en-US"/>
              </w:rPr>
            </w:pPr>
            <w:r w:rsidRPr="00BA5143">
              <w:rPr>
                <w:b/>
                <w:bCs/>
                <w:sz w:val="18"/>
                <w:szCs w:val="18"/>
                <w:lang w:val="en-US"/>
              </w:rPr>
              <w:t>-</w:t>
            </w:r>
          </w:p>
        </w:tc>
        <w:tc>
          <w:tcPr>
            <w:tcW w:w="931"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(61 809)</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62 136</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62 136</w:t>
            </w:r>
          </w:p>
        </w:tc>
      </w:tr>
      <w:tr w:rsidR="00A011EF" w:rsidRPr="00BA5143" w:rsidTr="002F567A">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3</w:t>
            </w:r>
          </w:p>
        </w:tc>
        <w:tc>
          <w:tcPr>
            <w:tcW w:w="2471" w:type="dxa"/>
          </w:tcPr>
          <w:p w:rsidR="00A011EF" w:rsidRPr="00BA5143" w:rsidRDefault="00A011EF" w:rsidP="00A011EF">
            <w:pPr>
              <w:spacing w:line="200" w:lineRule="exact"/>
              <w:rPr>
                <w:sz w:val="20"/>
                <w:lang w:val="en-US"/>
              </w:rPr>
            </w:pPr>
            <w:r w:rsidRPr="00BA5143">
              <w:rPr>
                <w:sz w:val="20"/>
                <w:lang w:val="en-US"/>
              </w:rPr>
              <w:t>Share Issue:</w:t>
            </w:r>
          </w:p>
        </w:tc>
        <w:tc>
          <w:tcPr>
            <w:tcW w:w="426" w:type="dxa"/>
          </w:tcPr>
          <w:p w:rsidR="00A011EF" w:rsidRPr="00BA5143" w:rsidRDefault="00A011EF" w:rsidP="00A011EF">
            <w:pPr>
              <w:spacing w:line="200" w:lineRule="exact"/>
              <w:jc w:val="center"/>
              <w:rPr>
                <w:sz w:val="18"/>
                <w:szCs w:val="18"/>
                <w:lang w:val="en-US"/>
              </w:rPr>
            </w:pPr>
            <w:r w:rsidRPr="00BA5143">
              <w:rPr>
                <w:sz w:val="18"/>
                <w:szCs w:val="18"/>
                <w:lang w:val="en-US"/>
              </w:rPr>
              <w:t>15</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124  000</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(162)</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123 838</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123 838</w:t>
            </w:r>
          </w:p>
        </w:tc>
      </w:tr>
      <w:tr w:rsidR="00A011EF" w:rsidRPr="00BA5143" w:rsidTr="002F567A">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3.1</w:t>
            </w:r>
          </w:p>
        </w:tc>
        <w:tc>
          <w:tcPr>
            <w:tcW w:w="2471" w:type="dxa"/>
          </w:tcPr>
          <w:p w:rsidR="00A011EF" w:rsidRPr="00BA5143" w:rsidRDefault="00A011EF" w:rsidP="00A011EF">
            <w:pPr>
              <w:spacing w:line="200" w:lineRule="exact"/>
              <w:rPr>
                <w:sz w:val="20"/>
                <w:lang w:val="en-US"/>
              </w:rPr>
            </w:pPr>
            <w:r w:rsidRPr="00BA5143">
              <w:rPr>
                <w:sz w:val="20"/>
                <w:lang w:val="en-US"/>
              </w:rPr>
              <w:t>Nominal value</w:t>
            </w:r>
          </w:p>
        </w:tc>
        <w:tc>
          <w:tcPr>
            <w:tcW w:w="426" w:type="dxa"/>
          </w:tcPr>
          <w:p w:rsidR="00A011EF" w:rsidRPr="00BA5143" w:rsidRDefault="00A011EF" w:rsidP="00A011EF">
            <w:pPr>
              <w:spacing w:line="200" w:lineRule="exact"/>
              <w:jc w:val="center"/>
              <w:rPr>
                <w:sz w:val="18"/>
                <w:szCs w:val="18"/>
                <w:lang w:val="en-US"/>
              </w:rPr>
            </w:pPr>
            <w:r w:rsidRPr="00BA5143">
              <w:rPr>
                <w:sz w:val="18"/>
                <w:szCs w:val="18"/>
                <w:lang w:val="en-US"/>
              </w:rPr>
              <w:t>15</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124 000</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124 000</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124 000</w:t>
            </w:r>
          </w:p>
        </w:tc>
      </w:tr>
      <w:tr w:rsidR="00A011EF" w:rsidRPr="00BA5143" w:rsidTr="00A011EF">
        <w:trPr>
          <w:trHeight w:val="37"/>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3.2</w:t>
            </w:r>
          </w:p>
        </w:tc>
        <w:tc>
          <w:tcPr>
            <w:tcW w:w="2471" w:type="dxa"/>
          </w:tcPr>
          <w:p w:rsidR="00A011EF" w:rsidRPr="00BA5143" w:rsidRDefault="00A011EF" w:rsidP="00A011EF">
            <w:pPr>
              <w:spacing w:line="200" w:lineRule="exact"/>
              <w:rPr>
                <w:sz w:val="20"/>
                <w:lang w:val="en-US"/>
              </w:rPr>
            </w:pPr>
            <w:r w:rsidRPr="00BA5143">
              <w:rPr>
                <w:sz w:val="20"/>
                <w:lang w:val="en-US"/>
              </w:rPr>
              <w:t>Emission differences and other additional capital</w:t>
            </w:r>
          </w:p>
        </w:tc>
        <w:tc>
          <w:tcPr>
            <w:tcW w:w="426" w:type="dxa"/>
          </w:tcPr>
          <w:p w:rsidR="00A011EF" w:rsidRPr="00BA5143" w:rsidRDefault="00A011EF" w:rsidP="00A011EF">
            <w:pPr>
              <w:spacing w:line="200" w:lineRule="exact"/>
              <w:jc w:val="center"/>
              <w:rPr>
                <w:sz w:val="18"/>
                <w:szCs w:val="18"/>
                <w:lang w:val="en-US"/>
              </w:rPr>
            </w:pPr>
            <w:r w:rsidRPr="00BA5143">
              <w:rPr>
                <w:sz w:val="18"/>
                <w:szCs w:val="18"/>
                <w:lang w:val="en-US"/>
              </w:rPr>
              <w:t>15</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(162)</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jc w:val="right"/>
              <w:rPr>
                <w:lang w:val="en-US"/>
              </w:rPr>
            </w:pPr>
            <w:r w:rsidRPr="00BA5143">
              <w:rPr>
                <w:sz w:val="18"/>
                <w:szCs w:val="18"/>
                <w:lang w:val="en-US"/>
              </w:rPr>
              <w:t>(162)</w:t>
            </w:r>
          </w:p>
        </w:tc>
        <w:tc>
          <w:tcPr>
            <w:tcW w:w="992" w:type="dxa"/>
          </w:tcPr>
          <w:p w:rsidR="00A011EF" w:rsidRPr="00BA5143" w:rsidRDefault="00A011EF" w:rsidP="00A011EF">
            <w:pPr>
              <w:jc w:val="right"/>
              <w:rPr>
                <w:lang w:val="en-US"/>
              </w:rPr>
            </w:pPr>
            <w:r w:rsidRPr="00BA5143">
              <w:rPr>
                <w:sz w:val="18"/>
                <w:szCs w:val="18"/>
                <w:lang w:val="en-US"/>
              </w:rPr>
              <w:t>(162)</w:t>
            </w:r>
          </w:p>
        </w:tc>
      </w:tr>
      <w:tr w:rsidR="00A011EF" w:rsidRPr="00BA5143" w:rsidTr="00A011EF">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4</w:t>
            </w:r>
          </w:p>
        </w:tc>
        <w:tc>
          <w:tcPr>
            <w:tcW w:w="2471" w:type="dxa"/>
          </w:tcPr>
          <w:p w:rsidR="00A011EF" w:rsidRPr="00BA5143" w:rsidRDefault="00A011EF" w:rsidP="00A011EF">
            <w:pPr>
              <w:spacing w:line="200" w:lineRule="exact"/>
              <w:rPr>
                <w:sz w:val="20"/>
                <w:lang w:val="en-US"/>
              </w:rPr>
            </w:pPr>
            <w:r w:rsidRPr="00BA5143">
              <w:rPr>
                <w:sz w:val="20"/>
                <w:lang w:val="en-US"/>
              </w:rPr>
              <w:t>Total comprehensive income</w:t>
            </w:r>
          </w:p>
        </w:tc>
        <w:tc>
          <w:tcPr>
            <w:tcW w:w="426" w:type="dxa"/>
          </w:tcPr>
          <w:p w:rsidR="00A011EF" w:rsidRPr="00BA5143" w:rsidRDefault="00A011EF" w:rsidP="00A011EF">
            <w:pPr>
              <w:spacing w:line="200" w:lineRule="exact"/>
              <w:jc w:val="center"/>
              <w:rPr>
                <w:sz w:val="18"/>
                <w:szCs w:val="18"/>
                <w:lang w:val="en-US"/>
              </w:rPr>
            </w:pP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r>
      <w:tr w:rsidR="00A011EF" w:rsidRPr="00BA5143" w:rsidTr="00A011EF">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4.1</w:t>
            </w:r>
          </w:p>
        </w:tc>
        <w:tc>
          <w:tcPr>
            <w:tcW w:w="2471" w:type="dxa"/>
          </w:tcPr>
          <w:p w:rsidR="00A011EF" w:rsidRPr="00BA5143" w:rsidRDefault="00A011EF" w:rsidP="00A011EF">
            <w:pPr>
              <w:spacing w:line="200" w:lineRule="exact"/>
              <w:rPr>
                <w:sz w:val="20"/>
                <w:lang w:val="en-US"/>
              </w:rPr>
            </w:pPr>
            <w:r w:rsidRPr="00BA5143">
              <w:rPr>
                <w:sz w:val="20"/>
                <w:lang w:val="en-US"/>
              </w:rPr>
              <w:t>Profit / (loss) per year</w:t>
            </w:r>
          </w:p>
        </w:tc>
        <w:tc>
          <w:tcPr>
            <w:tcW w:w="426" w:type="dxa"/>
          </w:tcPr>
          <w:p w:rsidR="00A011EF" w:rsidRPr="00BA5143" w:rsidRDefault="00A011EF" w:rsidP="00A011EF">
            <w:pPr>
              <w:spacing w:line="200" w:lineRule="exact"/>
              <w:jc w:val="center"/>
              <w:rPr>
                <w:sz w:val="18"/>
                <w:szCs w:val="18"/>
                <w:lang w:val="en-US"/>
              </w:rPr>
            </w:pP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(1 412)</w:t>
            </w:r>
          </w:p>
        </w:tc>
      </w:tr>
      <w:tr w:rsidR="00A011EF" w:rsidRPr="00BA5143" w:rsidTr="00A011EF">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4.2</w:t>
            </w:r>
          </w:p>
        </w:tc>
        <w:tc>
          <w:tcPr>
            <w:tcW w:w="2471" w:type="dxa"/>
          </w:tcPr>
          <w:p w:rsidR="00A011EF" w:rsidRPr="00BA5143" w:rsidRDefault="00A011EF" w:rsidP="00A011EF">
            <w:pPr>
              <w:spacing w:line="200" w:lineRule="exact"/>
              <w:rPr>
                <w:sz w:val="20"/>
                <w:lang w:val="en-US"/>
              </w:rPr>
            </w:pPr>
            <w:r w:rsidRPr="00BA5143">
              <w:rPr>
                <w:sz w:val="20"/>
                <w:lang w:val="en-US"/>
              </w:rPr>
              <w:t>Other comprehensive income</w:t>
            </w:r>
          </w:p>
        </w:tc>
        <w:tc>
          <w:tcPr>
            <w:tcW w:w="426" w:type="dxa"/>
          </w:tcPr>
          <w:p w:rsidR="00A011EF" w:rsidRPr="00BA5143" w:rsidRDefault="00A011EF" w:rsidP="00A011EF">
            <w:pPr>
              <w:spacing w:line="200" w:lineRule="exact"/>
              <w:jc w:val="center"/>
              <w:rPr>
                <w:sz w:val="18"/>
                <w:szCs w:val="18"/>
                <w:lang w:val="en-US"/>
              </w:rPr>
            </w:pPr>
            <w:r w:rsidRPr="00BA5143">
              <w:rPr>
                <w:sz w:val="18"/>
                <w:szCs w:val="18"/>
                <w:lang w:val="en-US"/>
              </w:rPr>
              <w:t>16</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jc w:val="right"/>
              <w:rPr>
                <w:lang w:val="en-US"/>
              </w:rPr>
            </w:pPr>
            <w:r w:rsidRPr="00BA5143">
              <w:rPr>
                <w:sz w:val="18"/>
                <w:szCs w:val="18"/>
                <w:lang w:val="en-US"/>
              </w:rPr>
              <w:t>-</w:t>
            </w:r>
          </w:p>
        </w:tc>
        <w:tc>
          <w:tcPr>
            <w:tcW w:w="992" w:type="dxa"/>
          </w:tcPr>
          <w:p w:rsidR="00A011EF" w:rsidRPr="00BA5143" w:rsidRDefault="00A011EF" w:rsidP="00A011EF">
            <w:pPr>
              <w:jc w:val="right"/>
              <w:rPr>
                <w:lang w:val="en-US"/>
              </w:rPr>
            </w:pPr>
            <w:r w:rsidRPr="00BA5143">
              <w:rPr>
                <w:sz w:val="18"/>
                <w:szCs w:val="18"/>
                <w:lang w:val="en-US"/>
              </w:rPr>
              <w:t>-</w:t>
            </w:r>
          </w:p>
        </w:tc>
      </w:tr>
      <w:tr w:rsidR="00A011EF" w:rsidRPr="00BA5143" w:rsidTr="00A011EF">
        <w:trPr>
          <w:trHeight w:val="90"/>
        </w:trPr>
        <w:tc>
          <w:tcPr>
            <w:tcW w:w="648" w:type="dxa"/>
            <w:vAlign w:val="bottom"/>
          </w:tcPr>
          <w:p w:rsidR="00A011EF" w:rsidRPr="00BA5143" w:rsidRDefault="00A011EF" w:rsidP="00A011EF">
            <w:pPr>
              <w:spacing w:line="200" w:lineRule="exact"/>
              <w:jc w:val="center"/>
              <w:rPr>
                <w:sz w:val="18"/>
                <w:szCs w:val="18"/>
                <w:lang w:val="en-US"/>
              </w:rPr>
            </w:pPr>
            <w:r w:rsidRPr="00BA5143">
              <w:rPr>
                <w:sz w:val="18"/>
                <w:szCs w:val="18"/>
                <w:lang w:val="en-US"/>
              </w:rPr>
              <w:t>5</w:t>
            </w:r>
          </w:p>
        </w:tc>
        <w:tc>
          <w:tcPr>
            <w:tcW w:w="2471" w:type="dxa"/>
          </w:tcPr>
          <w:p w:rsidR="00A011EF" w:rsidRPr="00BA5143" w:rsidRDefault="00A011EF" w:rsidP="00A011EF">
            <w:pPr>
              <w:spacing w:line="200" w:lineRule="exact"/>
              <w:rPr>
                <w:sz w:val="20"/>
                <w:lang w:val="en-US"/>
              </w:rPr>
            </w:pPr>
            <w:r w:rsidRPr="00BA5143">
              <w:rPr>
                <w:sz w:val="20"/>
                <w:lang w:val="en-US"/>
              </w:rPr>
              <w:t>Distribution of profits</w:t>
            </w:r>
          </w:p>
        </w:tc>
        <w:tc>
          <w:tcPr>
            <w:tcW w:w="426" w:type="dxa"/>
          </w:tcPr>
          <w:p w:rsidR="00A011EF" w:rsidRPr="00BA5143" w:rsidRDefault="00A011EF" w:rsidP="00A011EF">
            <w:pPr>
              <w:spacing w:line="200" w:lineRule="exact"/>
              <w:jc w:val="center"/>
              <w:rPr>
                <w:sz w:val="18"/>
                <w:szCs w:val="18"/>
                <w:lang w:val="en-US"/>
              </w:rPr>
            </w:pP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867"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31"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c>
          <w:tcPr>
            <w:tcW w:w="992" w:type="dxa"/>
          </w:tcPr>
          <w:p w:rsidR="00A011EF" w:rsidRPr="00BA5143" w:rsidRDefault="00A011EF" w:rsidP="00A011EF">
            <w:pPr>
              <w:spacing w:line="200" w:lineRule="exact"/>
              <w:jc w:val="right"/>
              <w:rPr>
                <w:sz w:val="18"/>
                <w:szCs w:val="18"/>
                <w:lang w:val="en-US"/>
              </w:rPr>
            </w:pPr>
            <w:r w:rsidRPr="00BA5143">
              <w:rPr>
                <w:sz w:val="18"/>
                <w:szCs w:val="18"/>
                <w:lang w:val="en-US"/>
              </w:rPr>
              <w:t>-</w:t>
            </w:r>
          </w:p>
        </w:tc>
      </w:tr>
      <w:tr w:rsidR="006B068D" w:rsidRPr="00BA5143" w:rsidTr="002F567A">
        <w:trPr>
          <w:trHeight w:val="631"/>
        </w:trPr>
        <w:tc>
          <w:tcPr>
            <w:tcW w:w="648" w:type="dxa"/>
          </w:tcPr>
          <w:p w:rsidR="006B068D" w:rsidRPr="00BA5143" w:rsidRDefault="006B068D" w:rsidP="002F567A">
            <w:pPr>
              <w:spacing w:line="200" w:lineRule="exact"/>
              <w:jc w:val="center"/>
              <w:rPr>
                <w:b/>
                <w:bCs/>
                <w:sz w:val="18"/>
                <w:szCs w:val="18"/>
                <w:lang w:val="en-US"/>
              </w:rPr>
            </w:pPr>
            <w:r w:rsidRPr="00BA5143">
              <w:rPr>
                <w:b/>
                <w:bCs/>
                <w:sz w:val="18"/>
                <w:szCs w:val="18"/>
                <w:lang w:val="en-US"/>
              </w:rPr>
              <w:t>6</w:t>
            </w:r>
          </w:p>
        </w:tc>
        <w:tc>
          <w:tcPr>
            <w:tcW w:w="2471" w:type="dxa"/>
            <w:vAlign w:val="bottom"/>
          </w:tcPr>
          <w:p w:rsidR="006B068D" w:rsidRPr="00BA5143" w:rsidRDefault="007C4F8F" w:rsidP="002F567A">
            <w:pPr>
              <w:spacing w:line="200" w:lineRule="exact"/>
              <w:rPr>
                <w:b/>
                <w:bCs/>
                <w:sz w:val="20"/>
                <w:lang w:val="en-US"/>
              </w:rPr>
            </w:pPr>
            <w:r w:rsidRPr="00BA5143">
              <w:rPr>
                <w:b/>
                <w:bCs/>
                <w:sz w:val="20"/>
                <w:lang w:val="en-US"/>
              </w:rPr>
              <w:t>Balance at the end of the previous period of December 31, 2017</w:t>
            </w:r>
          </w:p>
        </w:tc>
        <w:tc>
          <w:tcPr>
            <w:tcW w:w="426" w:type="dxa"/>
          </w:tcPr>
          <w:p w:rsidR="006B068D" w:rsidRPr="00BA5143" w:rsidRDefault="006B068D" w:rsidP="002F567A">
            <w:pPr>
              <w:spacing w:line="200" w:lineRule="exact"/>
              <w:jc w:val="center"/>
              <w:rPr>
                <w:b/>
                <w:bCs/>
                <w:sz w:val="18"/>
                <w:szCs w:val="18"/>
                <w:lang w:val="en-US"/>
              </w:rPr>
            </w:pP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244 000</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(261)</w:t>
            </w:r>
          </w:p>
        </w:tc>
        <w:tc>
          <w:tcPr>
            <w:tcW w:w="867"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4 044</w:t>
            </w:r>
          </w:p>
        </w:tc>
        <w:tc>
          <w:tcPr>
            <w:tcW w:w="992" w:type="dxa"/>
          </w:tcPr>
          <w:p w:rsidR="006B068D" w:rsidRPr="00BA5143" w:rsidRDefault="00B527FD" w:rsidP="002F567A">
            <w:pPr>
              <w:spacing w:line="200" w:lineRule="exact"/>
              <w:jc w:val="right"/>
              <w:rPr>
                <w:b/>
                <w:bCs/>
                <w:sz w:val="18"/>
                <w:szCs w:val="18"/>
                <w:lang w:val="en-US"/>
              </w:rPr>
            </w:pPr>
            <w:r w:rsidRPr="00BA5143">
              <w:rPr>
                <w:b/>
                <w:bCs/>
                <w:sz w:val="18"/>
                <w:szCs w:val="18"/>
                <w:lang w:val="en-US"/>
              </w:rPr>
              <w:t>-</w:t>
            </w:r>
          </w:p>
        </w:tc>
        <w:tc>
          <w:tcPr>
            <w:tcW w:w="931"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(63 221)</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184 562</w:t>
            </w:r>
          </w:p>
        </w:tc>
        <w:tc>
          <w:tcPr>
            <w:tcW w:w="992" w:type="dxa"/>
          </w:tcPr>
          <w:p w:rsidR="006B068D" w:rsidRPr="00BA5143" w:rsidRDefault="006B068D" w:rsidP="002F567A">
            <w:pPr>
              <w:spacing w:line="200" w:lineRule="exact"/>
              <w:jc w:val="right"/>
              <w:rPr>
                <w:b/>
                <w:bCs/>
                <w:sz w:val="18"/>
                <w:szCs w:val="18"/>
                <w:lang w:val="en-US"/>
              </w:rPr>
            </w:pPr>
            <w:r w:rsidRPr="00BA5143">
              <w:rPr>
                <w:b/>
                <w:bCs/>
                <w:sz w:val="18"/>
                <w:szCs w:val="18"/>
                <w:lang w:val="en-US"/>
              </w:rPr>
              <w:t>184 562</w:t>
            </w:r>
          </w:p>
        </w:tc>
      </w:tr>
      <w:tr w:rsidR="007C4F8F" w:rsidRPr="00BA5143" w:rsidTr="002F567A">
        <w:trPr>
          <w:trHeight w:val="92"/>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7</w:t>
            </w:r>
          </w:p>
        </w:tc>
        <w:tc>
          <w:tcPr>
            <w:tcW w:w="2471" w:type="dxa"/>
          </w:tcPr>
          <w:p w:rsidR="007C4F8F" w:rsidRPr="00BA5143" w:rsidRDefault="007C4F8F" w:rsidP="007C4F8F">
            <w:pPr>
              <w:spacing w:line="200" w:lineRule="exact"/>
              <w:rPr>
                <w:sz w:val="20"/>
                <w:lang w:val="en-US"/>
              </w:rPr>
            </w:pPr>
            <w:r w:rsidRPr="00BA5143">
              <w:rPr>
                <w:sz w:val="20"/>
                <w:lang w:val="en-US"/>
              </w:rPr>
              <w:t>Share Issue:</w:t>
            </w:r>
          </w:p>
        </w:tc>
        <w:tc>
          <w:tcPr>
            <w:tcW w:w="426" w:type="dxa"/>
          </w:tcPr>
          <w:p w:rsidR="007C4F8F" w:rsidRPr="00BA5143" w:rsidRDefault="007C4F8F" w:rsidP="007C4F8F">
            <w:pPr>
              <w:spacing w:line="200" w:lineRule="exact"/>
              <w:jc w:val="center"/>
              <w:rPr>
                <w:sz w:val="18"/>
                <w:szCs w:val="18"/>
                <w:lang w:val="en-US"/>
              </w:rPr>
            </w:pPr>
            <w:r w:rsidRPr="00BA5143">
              <w:rPr>
                <w:sz w:val="18"/>
                <w:szCs w:val="18"/>
                <w:lang w:val="en-US"/>
              </w:rPr>
              <w:t>15</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r>
      <w:tr w:rsidR="007C4F8F" w:rsidRPr="00BA5143" w:rsidTr="002F567A">
        <w:trPr>
          <w:trHeight w:val="92"/>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7.1</w:t>
            </w:r>
          </w:p>
        </w:tc>
        <w:tc>
          <w:tcPr>
            <w:tcW w:w="2471" w:type="dxa"/>
          </w:tcPr>
          <w:p w:rsidR="007C4F8F" w:rsidRPr="00BA5143" w:rsidRDefault="007C4F8F" w:rsidP="007C4F8F">
            <w:pPr>
              <w:spacing w:line="200" w:lineRule="exact"/>
              <w:rPr>
                <w:sz w:val="20"/>
                <w:lang w:val="en-US"/>
              </w:rPr>
            </w:pPr>
            <w:r w:rsidRPr="00BA5143">
              <w:rPr>
                <w:sz w:val="20"/>
                <w:lang w:val="en-US"/>
              </w:rPr>
              <w:t>Nominal value</w:t>
            </w:r>
          </w:p>
        </w:tc>
        <w:tc>
          <w:tcPr>
            <w:tcW w:w="426" w:type="dxa"/>
          </w:tcPr>
          <w:p w:rsidR="007C4F8F" w:rsidRPr="00BA5143" w:rsidRDefault="007C4F8F" w:rsidP="007C4F8F">
            <w:pPr>
              <w:spacing w:line="200" w:lineRule="exact"/>
              <w:jc w:val="center"/>
              <w:rPr>
                <w:sz w:val="18"/>
                <w:szCs w:val="18"/>
                <w:lang w:val="en-US"/>
              </w:rPr>
            </w:pPr>
            <w:r w:rsidRPr="00BA5143">
              <w:rPr>
                <w:sz w:val="18"/>
                <w:szCs w:val="18"/>
                <w:lang w:val="en-US"/>
              </w:rPr>
              <w:t>15</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r>
      <w:tr w:rsidR="007C4F8F" w:rsidRPr="00BA5143" w:rsidTr="002F567A">
        <w:trPr>
          <w:trHeight w:val="92"/>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7.2</w:t>
            </w:r>
          </w:p>
        </w:tc>
        <w:tc>
          <w:tcPr>
            <w:tcW w:w="2471" w:type="dxa"/>
          </w:tcPr>
          <w:p w:rsidR="007C4F8F" w:rsidRPr="00BA5143" w:rsidRDefault="007C4F8F" w:rsidP="007C4F8F">
            <w:pPr>
              <w:spacing w:line="200" w:lineRule="exact"/>
              <w:rPr>
                <w:sz w:val="20"/>
                <w:lang w:val="en-US"/>
              </w:rPr>
            </w:pPr>
            <w:r w:rsidRPr="00BA5143">
              <w:rPr>
                <w:sz w:val="20"/>
                <w:lang w:val="en-US"/>
              </w:rPr>
              <w:t>Emission differences and other additional capital</w:t>
            </w:r>
          </w:p>
        </w:tc>
        <w:tc>
          <w:tcPr>
            <w:tcW w:w="426" w:type="dxa"/>
          </w:tcPr>
          <w:p w:rsidR="007C4F8F" w:rsidRPr="00BA5143" w:rsidRDefault="007C4F8F" w:rsidP="007C4F8F">
            <w:pPr>
              <w:spacing w:line="200" w:lineRule="exact"/>
              <w:jc w:val="center"/>
              <w:rPr>
                <w:sz w:val="18"/>
                <w:szCs w:val="18"/>
                <w:lang w:val="en-US"/>
              </w:rPr>
            </w:pPr>
            <w:r w:rsidRPr="00BA5143">
              <w:rPr>
                <w:sz w:val="18"/>
                <w:szCs w:val="18"/>
                <w:lang w:val="en-US"/>
              </w:rPr>
              <w:t>15</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r>
      <w:tr w:rsidR="007C4F8F" w:rsidRPr="00BA5143" w:rsidTr="002F567A">
        <w:trPr>
          <w:trHeight w:val="92"/>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8</w:t>
            </w:r>
          </w:p>
        </w:tc>
        <w:tc>
          <w:tcPr>
            <w:tcW w:w="2471" w:type="dxa"/>
          </w:tcPr>
          <w:p w:rsidR="007C4F8F" w:rsidRPr="00BA5143" w:rsidRDefault="007C4F8F" w:rsidP="007C4F8F">
            <w:pPr>
              <w:spacing w:line="200" w:lineRule="exact"/>
              <w:rPr>
                <w:sz w:val="20"/>
                <w:lang w:val="en-US"/>
              </w:rPr>
            </w:pPr>
            <w:r w:rsidRPr="00BA5143">
              <w:rPr>
                <w:sz w:val="20"/>
                <w:lang w:val="en-US"/>
              </w:rPr>
              <w:t>Total comprehensive income</w:t>
            </w:r>
          </w:p>
        </w:tc>
        <w:tc>
          <w:tcPr>
            <w:tcW w:w="426" w:type="dxa"/>
          </w:tcPr>
          <w:p w:rsidR="007C4F8F" w:rsidRPr="00BA5143" w:rsidRDefault="007C4F8F" w:rsidP="007C4F8F">
            <w:pPr>
              <w:spacing w:line="200" w:lineRule="exact"/>
              <w:jc w:val="center"/>
              <w:rPr>
                <w:sz w:val="18"/>
                <w:szCs w:val="18"/>
                <w:lang w:val="en-US"/>
              </w:rPr>
            </w:pP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20"/>
                <w:lang w:val="en-US"/>
              </w:rPr>
              <w:t>5 352</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8 151</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13 503</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13 503</w:t>
            </w:r>
          </w:p>
        </w:tc>
      </w:tr>
      <w:tr w:rsidR="007C4F8F" w:rsidRPr="00BA5143" w:rsidTr="00DE2999">
        <w:trPr>
          <w:trHeight w:val="104"/>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8.1</w:t>
            </w:r>
          </w:p>
        </w:tc>
        <w:tc>
          <w:tcPr>
            <w:tcW w:w="2471" w:type="dxa"/>
          </w:tcPr>
          <w:p w:rsidR="007C4F8F" w:rsidRPr="00BA5143" w:rsidRDefault="007C4F8F" w:rsidP="007C4F8F">
            <w:pPr>
              <w:spacing w:line="200" w:lineRule="exact"/>
              <w:rPr>
                <w:sz w:val="20"/>
                <w:lang w:val="en-US"/>
              </w:rPr>
            </w:pPr>
            <w:r w:rsidRPr="00BA5143">
              <w:rPr>
                <w:sz w:val="20"/>
                <w:lang w:val="en-US"/>
              </w:rPr>
              <w:t>Profit / (loss) per year</w:t>
            </w:r>
          </w:p>
        </w:tc>
        <w:tc>
          <w:tcPr>
            <w:tcW w:w="426" w:type="dxa"/>
          </w:tcPr>
          <w:p w:rsidR="007C4F8F" w:rsidRPr="00BA5143" w:rsidRDefault="007C4F8F" w:rsidP="007C4F8F">
            <w:pPr>
              <w:spacing w:line="200" w:lineRule="exact"/>
              <w:jc w:val="center"/>
              <w:rPr>
                <w:sz w:val="18"/>
                <w:szCs w:val="18"/>
                <w:lang w:val="en-US"/>
              </w:rPr>
            </w:pP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8 151</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8 151</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8 151</w:t>
            </w:r>
          </w:p>
        </w:tc>
      </w:tr>
      <w:tr w:rsidR="007C4F8F" w:rsidRPr="00BA5143" w:rsidTr="00DE2999">
        <w:trPr>
          <w:trHeight w:val="70"/>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8.2</w:t>
            </w:r>
          </w:p>
        </w:tc>
        <w:tc>
          <w:tcPr>
            <w:tcW w:w="2471" w:type="dxa"/>
          </w:tcPr>
          <w:p w:rsidR="007C4F8F" w:rsidRPr="00BA5143" w:rsidRDefault="007C4F8F" w:rsidP="007C4F8F">
            <w:pPr>
              <w:spacing w:line="200" w:lineRule="exact"/>
              <w:rPr>
                <w:sz w:val="20"/>
                <w:lang w:val="en-US"/>
              </w:rPr>
            </w:pPr>
            <w:r w:rsidRPr="00BA5143">
              <w:rPr>
                <w:sz w:val="20"/>
                <w:lang w:val="en-US"/>
              </w:rPr>
              <w:t>Other comprehensive income</w:t>
            </w:r>
          </w:p>
        </w:tc>
        <w:tc>
          <w:tcPr>
            <w:tcW w:w="426" w:type="dxa"/>
          </w:tcPr>
          <w:p w:rsidR="007C4F8F" w:rsidRPr="00BA5143" w:rsidRDefault="007C4F8F" w:rsidP="007C4F8F">
            <w:pPr>
              <w:spacing w:line="200" w:lineRule="exact"/>
              <w:jc w:val="center"/>
              <w:rPr>
                <w:sz w:val="18"/>
                <w:szCs w:val="18"/>
                <w:lang w:val="en-US"/>
              </w:rPr>
            </w:pPr>
            <w:r w:rsidRPr="00BA5143">
              <w:rPr>
                <w:sz w:val="18"/>
                <w:szCs w:val="18"/>
                <w:lang w:val="en-US"/>
              </w:rPr>
              <w:t>16</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20"/>
                <w:lang w:val="en-US"/>
              </w:rPr>
              <w:t>5 352</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jc w:val="right"/>
              <w:rPr>
                <w:lang w:val="en-US"/>
              </w:rPr>
            </w:pPr>
            <w:r w:rsidRPr="00BA5143">
              <w:rPr>
                <w:sz w:val="18"/>
                <w:szCs w:val="18"/>
                <w:lang w:val="en-US"/>
              </w:rPr>
              <w:t>5 352</w:t>
            </w:r>
          </w:p>
        </w:tc>
        <w:tc>
          <w:tcPr>
            <w:tcW w:w="992" w:type="dxa"/>
            <w:shd w:val="clear" w:color="auto" w:fill="auto"/>
          </w:tcPr>
          <w:p w:rsidR="007C4F8F" w:rsidRPr="00BA5143" w:rsidRDefault="007C4F8F" w:rsidP="007C4F8F">
            <w:pPr>
              <w:jc w:val="right"/>
              <w:rPr>
                <w:lang w:val="en-US"/>
              </w:rPr>
            </w:pPr>
            <w:r w:rsidRPr="00BA5143">
              <w:rPr>
                <w:sz w:val="18"/>
                <w:szCs w:val="18"/>
                <w:lang w:val="en-US"/>
              </w:rPr>
              <w:t>5 352</w:t>
            </w:r>
          </w:p>
        </w:tc>
      </w:tr>
      <w:tr w:rsidR="007C4F8F" w:rsidRPr="00BA5143" w:rsidTr="00DE2999">
        <w:trPr>
          <w:trHeight w:val="70"/>
        </w:trPr>
        <w:tc>
          <w:tcPr>
            <w:tcW w:w="648" w:type="dxa"/>
          </w:tcPr>
          <w:p w:rsidR="007C4F8F" w:rsidRPr="00BA5143" w:rsidRDefault="007C4F8F" w:rsidP="007C4F8F">
            <w:pPr>
              <w:spacing w:line="200" w:lineRule="exact"/>
              <w:jc w:val="center"/>
              <w:rPr>
                <w:sz w:val="18"/>
                <w:szCs w:val="18"/>
                <w:lang w:val="en-US"/>
              </w:rPr>
            </w:pPr>
            <w:r w:rsidRPr="00BA5143">
              <w:rPr>
                <w:sz w:val="18"/>
                <w:szCs w:val="18"/>
                <w:lang w:val="en-US"/>
              </w:rPr>
              <w:t>9</w:t>
            </w:r>
          </w:p>
        </w:tc>
        <w:tc>
          <w:tcPr>
            <w:tcW w:w="2471" w:type="dxa"/>
          </w:tcPr>
          <w:p w:rsidR="007C4F8F" w:rsidRPr="00BA5143" w:rsidRDefault="007C4F8F" w:rsidP="007C4F8F">
            <w:pPr>
              <w:spacing w:line="200" w:lineRule="exact"/>
              <w:rPr>
                <w:sz w:val="20"/>
                <w:lang w:val="en-US"/>
              </w:rPr>
            </w:pPr>
            <w:r w:rsidRPr="00BA5143">
              <w:rPr>
                <w:sz w:val="20"/>
                <w:lang w:val="en-US"/>
              </w:rPr>
              <w:t>Distribution of profits</w:t>
            </w:r>
          </w:p>
        </w:tc>
        <w:tc>
          <w:tcPr>
            <w:tcW w:w="426" w:type="dxa"/>
          </w:tcPr>
          <w:p w:rsidR="007C4F8F" w:rsidRPr="00BA5143" w:rsidRDefault="007C4F8F" w:rsidP="007C4F8F">
            <w:pPr>
              <w:spacing w:line="200" w:lineRule="exact"/>
              <w:jc w:val="center"/>
              <w:rPr>
                <w:sz w:val="18"/>
                <w:szCs w:val="18"/>
                <w:lang w:val="en-US"/>
              </w:rPr>
            </w:pP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867"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31"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c>
          <w:tcPr>
            <w:tcW w:w="992" w:type="dxa"/>
            <w:shd w:val="clear" w:color="auto" w:fill="auto"/>
          </w:tcPr>
          <w:p w:rsidR="007C4F8F" w:rsidRPr="00BA5143" w:rsidRDefault="007C4F8F" w:rsidP="007C4F8F">
            <w:pPr>
              <w:spacing w:line="200" w:lineRule="exact"/>
              <w:jc w:val="right"/>
              <w:rPr>
                <w:sz w:val="18"/>
                <w:szCs w:val="18"/>
                <w:lang w:val="en-US"/>
              </w:rPr>
            </w:pPr>
            <w:r w:rsidRPr="00BA5143">
              <w:rPr>
                <w:sz w:val="18"/>
                <w:szCs w:val="18"/>
                <w:lang w:val="en-US"/>
              </w:rPr>
              <w:t>-</w:t>
            </w:r>
          </w:p>
        </w:tc>
      </w:tr>
      <w:tr w:rsidR="007C4F8F" w:rsidRPr="00BA5143" w:rsidTr="002F567A">
        <w:trPr>
          <w:trHeight w:val="276"/>
        </w:trPr>
        <w:tc>
          <w:tcPr>
            <w:tcW w:w="648" w:type="dxa"/>
          </w:tcPr>
          <w:p w:rsidR="007C4F8F" w:rsidRPr="00BA5143" w:rsidRDefault="007C4F8F" w:rsidP="007C4F8F">
            <w:pPr>
              <w:spacing w:line="200" w:lineRule="exact"/>
              <w:jc w:val="center"/>
              <w:rPr>
                <w:b/>
                <w:bCs/>
                <w:sz w:val="18"/>
                <w:szCs w:val="18"/>
                <w:lang w:val="en-US"/>
              </w:rPr>
            </w:pPr>
            <w:r w:rsidRPr="00BA5143">
              <w:rPr>
                <w:b/>
                <w:bCs/>
                <w:sz w:val="18"/>
                <w:szCs w:val="18"/>
                <w:lang w:val="en-US"/>
              </w:rPr>
              <w:t>10</w:t>
            </w:r>
          </w:p>
        </w:tc>
        <w:tc>
          <w:tcPr>
            <w:tcW w:w="2471" w:type="dxa"/>
          </w:tcPr>
          <w:p w:rsidR="007C4F8F" w:rsidRPr="00BA5143" w:rsidRDefault="007C4F8F" w:rsidP="007C4F8F">
            <w:pPr>
              <w:spacing w:line="200" w:lineRule="exact"/>
              <w:rPr>
                <w:b/>
                <w:bCs/>
                <w:sz w:val="20"/>
                <w:lang w:val="en-US"/>
              </w:rPr>
            </w:pPr>
            <w:r w:rsidRPr="00BA5143">
              <w:rPr>
                <w:b/>
                <w:bCs/>
                <w:sz w:val="20"/>
                <w:lang w:val="en-US"/>
              </w:rPr>
              <w:t>Balance at the end of the reporting period, December 31, 2018</w:t>
            </w:r>
          </w:p>
        </w:tc>
        <w:tc>
          <w:tcPr>
            <w:tcW w:w="426" w:type="dxa"/>
            <w:vAlign w:val="bottom"/>
          </w:tcPr>
          <w:p w:rsidR="007C4F8F" w:rsidRPr="00BA5143" w:rsidRDefault="007C4F8F" w:rsidP="007C4F8F">
            <w:pPr>
              <w:spacing w:line="200" w:lineRule="exact"/>
              <w:jc w:val="center"/>
              <w:rPr>
                <w:sz w:val="18"/>
                <w:szCs w:val="18"/>
                <w:lang w:val="en-US"/>
              </w:rPr>
            </w:pPr>
            <w:r w:rsidRPr="00BA5143">
              <w:rPr>
                <w:sz w:val="18"/>
                <w:szCs w:val="18"/>
                <w:lang w:val="en-US"/>
              </w:rPr>
              <w:t> </w:t>
            </w:r>
          </w:p>
        </w:tc>
        <w:tc>
          <w:tcPr>
            <w:tcW w:w="992"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244 000</w:t>
            </w:r>
          </w:p>
        </w:tc>
        <w:tc>
          <w:tcPr>
            <w:tcW w:w="992" w:type="dxa"/>
          </w:tcPr>
          <w:p w:rsidR="007C4F8F" w:rsidRPr="00BA5143" w:rsidRDefault="007C4F8F" w:rsidP="007C4F8F">
            <w:pPr>
              <w:spacing w:line="200" w:lineRule="exact"/>
              <w:jc w:val="right"/>
              <w:rPr>
                <w:b/>
                <w:bCs/>
                <w:sz w:val="18"/>
                <w:szCs w:val="18"/>
                <w:lang w:val="en-US"/>
              </w:rPr>
            </w:pPr>
            <w:r w:rsidRPr="00BA5143">
              <w:rPr>
                <w:b/>
                <w:bCs/>
                <w:sz w:val="18"/>
                <w:szCs w:val="18"/>
                <w:lang w:val="en-US"/>
              </w:rPr>
              <w:t>(261)</w:t>
            </w:r>
          </w:p>
        </w:tc>
        <w:tc>
          <w:tcPr>
            <w:tcW w:w="867"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4 044</w:t>
            </w:r>
          </w:p>
        </w:tc>
        <w:tc>
          <w:tcPr>
            <w:tcW w:w="992"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5 352</w:t>
            </w:r>
          </w:p>
        </w:tc>
        <w:tc>
          <w:tcPr>
            <w:tcW w:w="931"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(55 070)</w:t>
            </w:r>
          </w:p>
        </w:tc>
        <w:tc>
          <w:tcPr>
            <w:tcW w:w="992"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198 065</w:t>
            </w:r>
          </w:p>
        </w:tc>
        <w:tc>
          <w:tcPr>
            <w:tcW w:w="992" w:type="dxa"/>
            <w:shd w:val="clear" w:color="auto" w:fill="auto"/>
          </w:tcPr>
          <w:p w:rsidR="007C4F8F" w:rsidRPr="00BA5143" w:rsidRDefault="007C4F8F" w:rsidP="007C4F8F">
            <w:pPr>
              <w:spacing w:line="200" w:lineRule="exact"/>
              <w:jc w:val="right"/>
              <w:rPr>
                <w:b/>
                <w:bCs/>
                <w:sz w:val="18"/>
                <w:szCs w:val="18"/>
                <w:lang w:val="en-US"/>
              </w:rPr>
            </w:pPr>
            <w:r w:rsidRPr="00BA5143">
              <w:rPr>
                <w:b/>
                <w:bCs/>
                <w:sz w:val="18"/>
                <w:szCs w:val="18"/>
                <w:lang w:val="en-US"/>
              </w:rPr>
              <w:t>198 065</w:t>
            </w:r>
          </w:p>
        </w:tc>
      </w:tr>
    </w:tbl>
    <w:p w:rsidR="00860BED" w:rsidRPr="00BA5143" w:rsidRDefault="00860BED" w:rsidP="00860BED">
      <w:pPr>
        <w:pStyle w:val="a4"/>
        <w:spacing w:after="120" w:afterAutospacing="0" w:line="240" w:lineRule="exact"/>
        <w:jc w:val="both"/>
        <w:rPr>
          <w:color w:val="000000"/>
          <w:sz w:val="20"/>
          <w:szCs w:val="20"/>
          <w:lang w:val="en-US"/>
        </w:rPr>
      </w:pPr>
      <w:r w:rsidRPr="00BA5143">
        <w:rPr>
          <w:color w:val="000000"/>
          <w:sz w:val="20"/>
          <w:szCs w:val="20"/>
          <w:lang w:val="en-US"/>
        </w:rPr>
        <w:t>The notes on pages 8-6</w:t>
      </w:r>
      <w:r w:rsidR="00B3678C">
        <w:rPr>
          <w:color w:val="000000"/>
          <w:sz w:val="20"/>
          <w:szCs w:val="20"/>
          <w:lang w:val="en-US"/>
        </w:rPr>
        <w:t>5</w:t>
      </w:r>
      <w:r w:rsidRPr="00BA5143">
        <w:rPr>
          <w:color w:val="000000"/>
          <w:sz w:val="20"/>
          <w:szCs w:val="20"/>
          <w:lang w:val="en-US"/>
        </w:rPr>
        <w:t xml:space="preserve"> are an integral part of the financial statements of the Bank for 2018.</w:t>
      </w:r>
    </w:p>
    <w:p w:rsidR="00860BED" w:rsidRPr="00BA5143" w:rsidRDefault="00860BED" w:rsidP="00860BED">
      <w:pPr>
        <w:pStyle w:val="a4"/>
        <w:tabs>
          <w:tab w:val="left" w:pos="3969"/>
          <w:tab w:val="left" w:pos="4111"/>
        </w:tabs>
        <w:spacing w:after="120" w:line="240" w:lineRule="exact"/>
        <w:jc w:val="both"/>
        <w:rPr>
          <w:color w:val="000000"/>
          <w:lang w:val="en-US"/>
        </w:rPr>
      </w:pPr>
      <w:r w:rsidRPr="00BA5143">
        <w:rPr>
          <w:color w:val="000000"/>
          <w:lang w:val="en-US"/>
        </w:rPr>
        <w:t>Approved for issue and signed</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March 18, 2019</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 xml:space="preserve">Chairman                                            </w:t>
      </w:r>
      <w:r w:rsidRPr="00BA5143">
        <w:rPr>
          <w:color w:val="000000"/>
          <w:lang w:val="en-US"/>
        </w:rPr>
        <w:tab/>
        <w:t xml:space="preserve">                  О. Loktionov </w:t>
      </w:r>
    </w:p>
    <w:p w:rsidR="00860BED" w:rsidRPr="00BA5143" w:rsidRDefault="00860BED" w:rsidP="00860BED">
      <w:pPr>
        <w:pStyle w:val="a4"/>
        <w:tabs>
          <w:tab w:val="left" w:pos="4111"/>
        </w:tabs>
        <w:spacing w:before="0" w:beforeAutospacing="0" w:after="0" w:afterAutospacing="0" w:line="240" w:lineRule="exact"/>
        <w:jc w:val="both"/>
        <w:rPr>
          <w:color w:val="000000"/>
          <w:lang w:val="en-US"/>
        </w:rPr>
      </w:pPr>
      <w:r w:rsidRPr="00BA5143">
        <w:rPr>
          <w:color w:val="000000"/>
          <w:lang w:val="en-US"/>
        </w:rPr>
        <w:t xml:space="preserve">Chief </w:t>
      </w:r>
      <w:r w:rsidR="00201937" w:rsidRPr="00BA5143">
        <w:rPr>
          <w:color w:val="000000"/>
          <w:lang w:val="en-US"/>
        </w:rPr>
        <w:t>accountant</w:t>
      </w:r>
      <w:r w:rsidRPr="00BA5143">
        <w:rPr>
          <w:color w:val="000000"/>
          <w:lang w:val="en-US"/>
        </w:rPr>
        <w:tab/>
      </w:r>
      <w:r w:rsidRPr="00BA5143">
        <w:rPr>
          <w:color w:val="000000"/>
          <w:lang w:val="en-US"/>
        </w:rPr>
        <w:tab/>
      </w:r>
      <w:r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Pr="00BA5143">
        <w:rPr>
          <w:color w:val="000000"/>
          <w:lang w:val="en-US"/>
        </w:rPr>
        <w:t xml:space="preserve"> </w:t>
      </w:r>
    </w:p>
    <w:p w:rsidR="00860BED" w:rsidRPr="00BA5143" w:rsidRDefault="00860BED" w:rsidP="00860BED">
      <w:pPr>
        <w:pStyle w:val="a4"/>
        <w:tabs>
          <w:tab w:val="left" w:pos="4111"/>
        </w:tabs>
        <w:spacing w:before="0" w:beforeAutospacing="0" w:after="0" w:afterAutospacing="0" w:line="240" w:lineRule="exact"/>
        <w:jc w:val="both"/>
        <w:rPr>
          <w:color w:val="000000"/>
          <w:sz w:val="20"/>
          <w:szCs w:val="20"/>
          <w:u w:val="single"/>
          <w:lang w:val="en-US"/>
        </w:rPr>
      </w:pPr>
      <w:r w:rsidRPr="00BA5143">
        <w:rPr>
          <w:color w:val="000000"/>
          <w:sz w:val="20"/>
          <w:szCs w:val="20"/>
          <w:u w:val="single"/>
          <w:lang w:val="en-US"/>
        </w:rPr>
        <w:t xml:space="preserve">N. </w:t>
      </w:r>
      <w:proofErr w:type="spellStart"/>
      <w:r w:rsidRPr="00BA5143">
        <w:rPr>
          <w:color w:val="000000"/>
          <w:sz w:val="20"/>
          <w:szCs w:val="20"/>
          <w:u w:val="single"/>
          <w:lang w:val="en-US"/>
        </w:rPr>
        <w:t>Zelen</w:t>
      </w:r>
      <w:r w:rsidR="006C58AD">
        <w:rPr>
          <w:color w:val="000000"/>
          <w:sz w:val="20"/>
          <w:szCs w:val="20"/>
          <w:u w:val="single"/>
          <w:lang w:val="en-US"/>
        </w:rPr>
        <w:t>i</w:t>
      </w:r>
      <w:r w:rsidRPr="00BA5143">
        <w:rPr>
          <w:color w:val="000000"/>
          <w:sz w:val="20"/>
          <w:szCs w:val="20"/>
          <w:u w:val="single"/>
          <w:lang w:val="en-US"/>
        </w:rPr>
        <w:t>uk</w:t>
      </w:r>
      <w:proofErr w:type="spellEnd"/>
      <w:r w:rsidRPr="00BA5143">
        <w:rPr>
          <w:color w:val="000000"/>
          <w:sz w:val="20"/>
          <w:szCs w:val="20"/>
          <w:u w:val="single"/>
          <w:lang w:val="en-US"/>
        </w:rPr>
        <w:t xml:space="preserve"> tel. 454 27 00  </w:t>
      </w:r>
    </w:p>
    <w:p w:rsidR="00860BED" w:rsidRPr="00BA5143" w:rsidRDefault="00860BED" w:rsidP="00860BED">
      <w:pPr>
        <w:pStyle w:val="a4"/>
        <w:tabs>
          <w:tab w:val="left" w:pos="4111"/>
        </w:tabs>
        <w:spacing w:before="0" w:beforeAutospacing="0" w:after="0" w:afterAutospacing="0" w:line="240" w:lineRule="exact"/>
        <w:jc w:val="both"/>
        <w:rPr>
          <w:color w:val="000000"/>
          <w:vertAlign w:val="superscript"/>
          <w:lang w:val="en-US"/>
        </w:rPr>
      </w:pPr>
      <w:r w:rsidRPr="00BA5143">
        <w:rPr>
          <w:color w:val="000000"/>
          <w:vertAlign w:val="superscript"/>
          <w:lang w:val="en-US"/>
        </w:rPr>
        <w:t>(performer surname, phone number)</w:t>
      </w:r>
    </w:p>
    <w:p w:rsidR="00FA325E" w:rsidRPr="00BA5143" w:rsidRDefault="00FA325E"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FA325E" w:rsidRPr="00BA5143" w:rsidRDefault="00FA325E"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C13E4C" w:rsidRPr="00BA5143" w:rsidRDefault="00C13E4C" w:rsidP="00E50DED">
      <w:pPr>
        <w:pStyle w:val="a4"/>
        <w:tabs>
          <w:tab w:val="left" w:pos="4111"/>
        </w:tabs>
        <w:spacing w:before="0" w:beforeAutospacing="0" w:after="0" w:afterAutospacing="0" w:line="240" w:lineRule="exact"/>
        <w:jc w:val="both"/>
        <w:rPr>
          <w:color w:val="000000"/>
          <w:highlight w:val="yellow"/>
          <w:vertAlign w:val="superscript"/>
          <w:lang w:val="en-US"/>
        </w:rPr>
      </w:pPr>
    </w:p>
    <w:p w:rsidR="007C4F8F" w:rsidRPr="00BA5143" w:rsidRDefault="007C4F8F" w:rsidP="007C4F8F">
      <w:pPr>
        <w:pStyle w:val="a4"/>
        <w:spacing w:before="0" w:beforeAutospacing="0" w:after="0" w:afterAutospacing="0" w:line="240" w:lineRule="exact"/>
        <w:jc w:val="center"/>
        <w:rPr>
          <w:b/>
          <w:lang w:val="en-US"/>
        </w:rPr>
      </w:pPr>
      <w:r w:rsidRPr="00BA5143">
        <w:rPr>
          <w:b/>
          <w:lang w:val="en-US"/>
        </w:rPr>
        <w:lastRenderedPageBreak/>
        <w:t>STATEMENT OF CASH FLOWS</w:t>
      </w:r>
    </w:p>
    <w:p w:rsidR="007C4F8F" w:rsidRPr="00BA5143" w:rsidRDefault="007C4F8F" w:rsidP="007C4F8F">
      <w:pPr>
        <w:pStyle w:val="a4"/>
        <w:spacing w:before="0" w:beforeAutospacing="0" w:after="0" w:afterAutospacing="0" w:line="240" w:lineRule="exact"/>
        <w:jc w:val="center"/>
        <w:rPr>
          <w:b/>
          <w:lang w:val="en-US"/>
        </w:rPr>
      </w:pPr>
      <w:r w:rsidRPr="00BA5143">
        <w:rPr>
          <w:b/>
          <w:lang w:val="en-US"/>
        </w:rPr>
        <w:t>by indirect method</w:t>
      </w:r>
    </w:p>
    <w:p w:rsidR="00C05F1C" w:rsidRPr="00BA5143" w:rsidRDefault="007C4F8F" w:rsidP="007C4F8F">
      <w:pPr>
        <w:pStyle w:val="a4"/>
        <w:spacing w:before="0" w:beforeAutospacing="0" w:after="0" w:afterAutospacing="0" w:line="240" w:lineRule="exact"/>
        <w:jc w:val="center"/>
        <w:rPr>
          <w:b/>
          <w:lang w:val="en-US"/>
        </w:rPr>
      </w:pPr>
      <w:r w:rsidRPr="00BA5143">
        <w:rPr>
          <w:b/>
          <w:lang w:val="en-US"/>
        </w:rPr>
        <w:t>for 2018</w:t>
      </w:r>
    </w:p>
    <w:p w:rsidR="006E1FA7" w:rsidRPr="00BA5143" w:rsidRDefault="006E1FA7" w:rsidP="006E1FA7">
      <w:pPr>
        <w:jc w:val="right"/>
        <w:rPr>
          <w:color w:val="000000"/>
          <w:sz w:val="20"/>
          <w:szCs w:val="20"/>
          <w:highlight w:val="yellow"/>
          <w:lang w:val="en-US"/>
        </w:rPr>
      </w:pPr>
      <w:r w:rsidRPr="00BA5143">
        <w:rPr>
          <w:lang w:val="en-US"/>
        </w:rPr>
        <w:t>(ths.UAH.)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1276"/>
        <w:gridCol w:w="1276"/>
        <w:gridCol w:w="1417"/>
      </w:tblGrid>
      <w:tr w:rsidR="002F567A" w:rsidRPr="00BA5143" w:rsidTr="002F567A">
        <w:trPr>
          <w:trHeight w:val="441"/>
        </w:trPr>
        <w:tc>
          <w:tcPr>
            <w:tcW w:w="5778" w:type="dxa"/>
            <w:tcBorders>
              <w:top w:val="single" w:sz="4" w:space="0" w:color="auto"/>
              <w:left w:val="single" w:sz="4" w:space="0" w:color="auto"/>
              <w:bottom w:val="single" w:sz="4" w:space="0" w:color="auto"/>
              <w:right w:val="single" w:sz="4" w:space="0" w:color="auto"/>
            </w:tcBorders>
            <w:vAlign w:val="center"/>
          </w:tcPr>
          <w:p w:rsidR="002F567A" w:rsidRPr="00BA5143" w:rsidRDefault="007C4F8F" w:rsidP="002F567A">
            <w:pPr>
              <w:spacing w:line="200" w:lineRule="exact"/>
              <w:jc w:val="center"/>
              <w:rPr>
                <w:b/>
                <w:bCs/>
                <w:sz w:val="20"/>
                <w:lang w:val="en-US" w:eastAsia="uk-UA"/>
              </w:rPr>
            </w:pPr>
            <w:r w:rsidRPr="00BA5143">
              <w:rPr>
                <w:b/>
                <w:bCs/>
                <w:sz w:val="20"/>
                <w:lang w:val="en-US" w:eastAsia="uk-UA"/>
              </w:rPr>
              <w:t>Item</w:t>
            </w:r>
          </w:p>
        </w:tc>
        <w:tc>
          <w:tcPr>
            <w:tcW w:w="1276" w:type="dxa"/>
            <w:tcBorders>
              <w:top w:val="single" w:sz="4" w:space="0" w:color="auto"/>
              <w:left w:val="single" w:sz="4" w:space="0" w:color="auto"/>
              <w:bottom w:val="single" w:sz="4" w:space="0" w:color="auto"/>
              <w:right w:val="single" w:sz="4" w:space="0" w:color="auto"/>
            </w:tcBorders>
            <w:vAlign w:val="center"/>
          </w:tcPr>
          <w:p w:rsidR="002F567A" w:rsidRPr="00BA5143" w:rsidRDefault="007C4F8F" w:rsidP="002F567A">
            <w:pPr>
              <w:spacing w:line="200" w:lineRule="exact"/>
              <w:jc w:val="center"/>
              <w:rPr>
                <w:b/>
                <w:bCs/>
                <w:sz w:val="20"/>
                <w:lang w:val="en-US" w:eastAsia="uk-UA"/>
              </w:rPr>
            </w:pPr>
            <w:r w:rsidRPr="00BA5143">
              <w:rPr>
                <w:b/>
                <w:bCs/>
                <w:sz w:val="20"/>
                <w:lang w:val="en-US" w:eastAsia="uk-UA"/>
              </w:rPr>
              <w:t>Notes</w:t>
            </w:r>
          </w:p>
        </w:tc>
        <w:tc>
          <w:tcPr>
            <w:tcW w:w="1276" w:type="dxa"/>
            <w:tcBorders>
              <w:top w:val="single" w:sz="4" w:space="0" w:color="auto"/>
              <w:left w:val="single" w:sz="4" w:space="0" w:color="auto"/>
              <w:bottom w:val="single" w:sz="4" w:space="0" w:color="auto"/>
              <w:right w:val="single" w:sz="4" w:space="0" w:color="auto"/>
            </w:tcBorders>
            <w:vAlign w:val="center"/>
          </w:tcPr>
          <w:p w:rsidR="002F567A" w:rsidRPr="00BA5143" w:rsidRDefault="002F567A" w:rsidP="002F567A">
            <w:pPr>
              <w:spacing w:line="200" w:lineRule="exact"/>
              <w:jc w:val="center"/>
              <w:rPr>
                <w:b/>
                <w:bCs/>
                <w:sz w:val="20"/>
                <w:lang w:val="en-US" w:eastAsia="uk-UA"/>
              </w:rPr>
            </w:pPr>
            <w:r w:rsidRPr="00BA5143">
              <w:rPr>
                <w:b/>
                <w:bCs/>
                <w:sz w:val="20"/>
                <w:lang w:val="en-US" w:eastAsia="uk-UA"/>
              </w:rPr>
              <w:t>2018</w:t>
            </w:r>
          </w:p>
        </w:tc>
        <w:tc>
          <w:tcPr>
            <w:tcW w:w="1417" w:type="dxa"/>
            <w:tcBorders>
              <w:top w:val="single" w:sz="4" w:space="0" w:color="auto"/>
              <w:left w:val="single" w:sz="4" w:space="0" w:color="auto"/>
              <w:bottom w:val="single" w:sz="4" w:space="0" w:color="auto"/>
              <w:right w:val="single" w:sz="4" w:space="0" w:color="auto"/>
            </w:tcBorders>
            <w:vAlign w:val="center"/>
          </w:tcPr>
          <w:p w:rsidR="002F567A" w:rsidRPr="00BA5143" w:rsidRDefault="002F567A" w:rsidP="002F567A">
            <w:pPr>
              <w:spacing w:line="200" w:lineRule="exact"/>
              <w:jc w:val="center"/>
              <w:rPr>
                <w:b/>
                <w:bCs/>
                <w:sz w:val="20"/>
                <w:lang w:val="en-US" w:eastAsia="uk-UA"/>
              </w:rPr>
            </w:pPr>
            <w:r w:rsidRPr="00BA5143">
              <w:rPr>
                <w:b/>
                <w:bCs/>
                <w:sz w:val="20"/>
                <w:lang w:val="en-US" w:eastAsia="uk-UA"/>
              </w:rPr>
              <w:t>2017</w:t>
            </w:r>
          </w:p>
        </w:tc>
      </w:tr>
      <w:tr w:rsidR="002F567A"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1</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2</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3</w:t>
            </w:r>
          </w:p>
        </w:tc>
        <w:tc>
          <w:tcPr>
            <w:tcW w:w="1417"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4</w:t>
            </w:r>
          </w:p>
        </w:tc>
      </w:tr>
      <w:tr w:rsidR="002F567A" w:rsidRPr="006C58AD" w:rsidTr="002F567A">
        <w:trPr>
          <w:trHeight w:val="109"/>
        </w:trPr>
        <w:tc>
          <w:tcPr>
            <w:tcW w:w="9747" w:type="dxa"/>
            <w:gridSpan w:val="4"/>
            <w:tcBorders>
              <w:top w:val="single" w:sz="4" w:space="0" w:color="auto"/>
              <w:left w:val="single" w:sz="4" w:space="0" w:color="auto"/>
              <w:bottom w:val="single" w:sz="4" w:space="0" w:color="auto"/>
              <w:right w:val="single" w:sz="4" w:space="0" w:color="auto"/>
            </w:tcBorders>
          </w:tcPr>
          <w:p w:rsidR="002F567A" w:rsidRPr="00BA5143" w:rsidRDefault="007C4F8F" w:rsidP="002F567A">
            <w:pPr>
              <w:spacing w:line="200" w:lineRule="exact"/>
              <w:rPr>
                <w:sz w:val="20"/>
                <w:lang w:val="en-US" w:eastAsia="uk-UA"/>
              </w:rPr>
            </w:pPr>
            <w:r w:rsidRPr="00BA5143">
              <w:rPr>
                <w:sz w:val="20"/>
                <w:lang w:val="en-US" w:eastAsia="uk-UA"/>
              </w:rPr>
              <w:t>MONEY FUNDS FROM OPERATING ACTIVITIES</w:t>
            </w:r>
          </w:p>
        </w:tc>
      </w:tr>
      <w:tr w:rsidR="002F567A"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2F567A" w:rsidRPr="00BA5143" w:rsidRDefault="007C4F8F" w:rsidP="002F567A">
            <w:pPr>
              <w:spacing w:line="200" w:lineRule="exact"/>
              <w:rPr>
                <w:sz w:val="20"/>
                <w:lang w:val="en-US" w:eastAsia="uk-UA"/>
              </w:rPr>
            </w:pPr>
            <w:r w:rsidRPr="00BA5143">
              <w:rPr>
                <w:sz w:val="20"/>
                <w:lang w:val="en-US" w:eastAsia="uk-UA"/>
              </w:rPr>
              <w:t>Profit / (loss) before tax</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right"/>
              <w:rPr>
                <w:sz w:val="20"/>
                <w:lang w:val="en-US" w:eastAsia="uk-UA"/>
              </w:rPr>
            </w:pPr>
            <w:r w:rsidRPr="00BA5143">
              <w:rPr>
                <w:sz w:val="20"/>
                <w:lang w:val="en-US" w:eastAsia="uk-UA"/>
              </w:rPr>
              <w:t>8 151</w:t>
            </w:r>
          </w:p>
        </w:tc>
        <w:tc>
          <w:tcPr>
            <w:tcW w:w="1417"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right"/>
              <w:rPr>
                <w:sz w:val="20"/>
                <w:lang w:val="en-US" w:eastAsia="uk-UA"/>
              </w:rPr>
            </w:pPr>
            <w:r w:rsidRPr="00BA5143">
              <w:rPr>
                <w:sz w:val="20"/>
                <w:lang w:val="en-US" w:eastAsia="uk-UA"/>
              </w:rPr>
              <w:t>(1 412)</w:t>
            </w:r>
          </w:p>
        </w:tc>
      </w:tr>
      <w:tr w:rsidR="002F567A" w:rsidRPr="00BA5143" w:rsidTr="002F567A">
        <w:trPr>
          <w:trHeight w:val="109"/>
        </w:trPr>
        <w:tc>
          <w:tcPr>
            <w:tcW w:w="9747" w:type="dxa"/>
            <w:gridSpan w:val="4"/>
            <w:tcBorders>
              <w:top w:val="single" w:sz="4" w:space="0" w:color="auto"/>
              <w:left w:val="single" w:sz="4" w:space="0" w:color="auto"/>
              <w:bottom w:val="single" w:sz="4" w:space="0" w:color="auto"/>
              <w:right w:val="single" w:sz="4" w:space="0" w:color="auto"/>
            </w:tcBorders>
          </w:tcPr>
          <w:p w:rsidR="002F567A" w:rsidRPr="00BA5143" w:rsidRDefault="007C4F8F" w:rsidP="002F567A">
            <w:pPr>
              <w:spacing w:line="200" w:lineRule="exact"/>
              <w:rPr>
                <w:sz w:val="20"/>
                <w:lang w:val="en-US" w:eastAsia="uk-UA"/>
              </w:rPr>
            </w:pPr>
            <w:r w:rsidRPr="00BA5143">
              <w:rPr>
                <w:sz w:val="20"/>
                <w:lang w:val="en-US" w:eastAsia="uk-UA"/>
              </w:rPr>
              <w:t>Adjustment:</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Depreciation and amortization</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8, 9</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712</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620</w:t>
            </w:r>
          </w:p>
        </w:tc>
      </w:tr>
      <w:tr w:rsidR="007C4F8F" w:rsidRPr="00BA5143" w:rsidTr="002F567A">
        <w:trPr>
          <w:trHeight w:val="157"/>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Net increase / (decrease) in provisions for impairment of assets</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6, 10</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90</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Amortization of discount / (bonus)</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2 107</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(3 040)</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The result of operations with foreign currency</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34</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(32)</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(Accrued income)</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(3 063)</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(942)</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Accrued expenses</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highlight w:val="yellow"/>
                <w:lang w:val="en-US" w:eastAsia="uk-UA"/>
              </w:rPr>
            </w:pPr>
            <w:r w:rsidRPr="00BA5143">
              <w:rPr>
                <w:sz w:val="20"/>
                <w:lang w:val="en-US" w:eastAsia="uk-UA"/>
              </w:rPr>
              <w:t>75</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(298)</w:t>
            </w:r>
          </w:p>
        </w:tc>
      </w:tr>
      <w:tr w:rsidR="007C4F8F"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rPr>
                <w:sz w:val="20"/>
                <w:lang w:val="en-US" w:eastAsia="uk-UA"/>
              </w:rPr>
            </w:pPr>
            <w:r w:rsidRPr="00BA5143">
              <w:rPr>
                <w:sz w:val="20"/>
                <w:lang w:val="en-US" w:eastAsia="uk-UA"/>
              </w:rPr>
              <w:t>Another movement of funds that is not monetary</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center"/>
              <w:rPr>
                <w:sz w:val="20"/>
                <w:lang w:val="en-US" w:eastAsia="uk-UA"/>
              </w:rPr>
            </w:pPr>
            <w:r w:rsidRPr="00BA5143">
              <w:rPr>
                <w:sz w:val="20"/>
                <w:lang w:val="en-US" w:eastAsia="uk-UA"/>
              </w:rPr>
              <w:t>12</w:t>
            </w:r>
          </w:p>
        </w:tc>
        <w:tc>
          <w:tcPr>
            <w:tcW w:w="1276"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(111)</w:t>
            </w:r>
          </w:p>
        </w:tc>
        <w:tc>
          <w:tcPr>
            <w:tcW w:w="1417" w:type="dxa"/>
            <w:tcBorders>
              <w:top w:val="single" w:sz="4" w:space="0" w:color="auto"/>
              <w:left w:val="single" w:sz="4" w:space="0" w:color="auto"/>
              <w:bottom w:val="single" w:sz="4" w:space="0" w:color="auto"/>
              <w:right w:val="single" w:sz="4" w:space="0" w:color="auto"/>
            </w:tcBorders>
          </w:tcPr>
          <w:p w:rsidR="007C4F8F" w:rsidRPr="00BA5143" w:rsidRDefault="007C4F8F" w:rsidP="007C4F8F">
            <w:pPr>
              <w:spacing w:line="200" w:lineRule="exact"/>
              <w:jc w:val="right"/>
              <w:rPr>
                <w:sz w:val="20"/>
                <w:lang w:val="en-US" w:eastAsia="uk-UA"/>
              </w:rPr>
            </w:pPr>
            <w:r w:rsidRPr="00BA5143">
              <w:rPr>
                <w:sz w:val="20"/>
                <w:lang w:val="en-US" w:eastAsia="uk-UA"/>
              </w:rPr>
              <w:t>(5 882)</w:t>
            </w:r>
          </w:p>
        </w:tc>
      </w:tr>
      <w:tr w:rsidR="002F567A" w:rsidRPr="00BA5143" w:rsidTr="002F567A">
        <w:trPr>
          <w:trHeight w:val="280"/>
        </w:trPr>
        <w:tc>
          <w:tcPr>
            <w:tcW w:w="5778" w:type="dxa"/>
            <w:tcBorders>
              <w:top w:val="single" w:sz="4" w:space="0" w:color="auto"/>
              <w:left w:val="single" w:sz="4" w:space="0" w:color="auto"/>
              <w:bottom w:val="single" w:sz="4" w:space="0" w:color="auto"/>
              <w:right w:val="single" w:sz="4" w:space="0" w:color="auto"/>
            </w:tcBorders>
          </w:tcPr>
          <w:p w:rsidR="002F567A" w:rsidRPr="00BA5143" w:rsidRDefault="00F14CE7" w:rsidP="002F567A">
            <w:pPr>
              <w:spacing w:line="200" w:lineRule="exact"/>
              <w:rPr>
                <w:b/>
                <w:bCs/>
                <w:sz w:val="20"/>
                <w:lang w:val="en-US" w:eastAsia="uk-UA"/>
              </w:rPr>
            </w:pPr>
            <w:r w:rsidRPr="00BA5143">
              <w:rPr>
                <w:b/>
                <w:bCs/>
                <w:sz w:val="20"/>
                <w:lang w:val="en-US" w:eastAsia="uk-UA"/>
              </w:rPr>
              <w:t>Net cash profit/(loss) from operating activities to changes in operating assets and liabilities</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right"/>
              <w:rPr>
                <w:b/>
                <w:bCs/>
                <w:sz w:val="20"/>
                <w:lang w:val="en-US" w:eastAsia="uk-UA"/>
              </w:rPr>
            </w:pPr>
            <w:r w:rsidRPr="00BA5143">
              <w:rPr>
                <w:b/>
                <w:bCs/>
                <w:sz w:val="20"/>
                <w:lang w:val="en-US" w:eastAsia="uk-UA"/>
              </w:rPr>
              <w:t>7 995</w:t>
            </w:r>
          </w:p>
        </w:tc>
        <w:tc>
          <w:tcPr>
            <w:tcW w:w="1417" w:type="dxa"/>
            <w:tcBorders>
              <w:top w:val="single" w:sz="4" w:space="0" w:color="auto"/>
              <w:left w:val="single" w:sz="4" w:space="0" w:color="auto"/>
              <w:bottom w:val="single" w:sz="4" w:space="0" w:color="auto"/>
              <w:right w:val="single" w:sz="4" w:space="0" w:color="auto"/>
            </w:tcBorders>
          </w:tcPr>
          <w:p w:rsidR="002F567A" w:rsidRPr="00BA5143" w:rsidRDefault="002F567A" w:rsidP="002F567A">
            <w:pPr>
              <w:spacing w:line="200" w:lineRule="exact"/>
              <w:jc w:val="right"/>
              <w:rPr>
                <w:b/>
                <w:bCs/>
                <w:sz w:val="20"/>
                <w:lang w:val="en-US" w:eastAsia="uk-UA"/>
              </w:rPr>
            </w:pPr>
            <w:r w:rsidRPr="00BA5143">
              <w:rPr>
                <w:b/>
                <w:bCs/>
                <w:sz w:val="20"/>
                <w:lang w:val="en-US" w:eastAsia="uk-UA"/>
              </w:rPr>
              <w:t>(10 986)</w:t>
            </w:r>
          </w:p>
        </w:tc>
      </w:tr>
      <w:tr w:rsidR="002F567A" w:rsidRPr="006C58AD" w:rsidTr="002F567A">
        <w:trPr>
          <w:trHeight w:val="109"/>
        </w:trPr>
        <w:tc>
          <w:tcPr>
            <w:tcW w:w="9747" w:type="dxa"/>
            <w:gridSpan w:val="4"/>
            <w:tcBorders>
              <w:top w:val="single" w:sz="4" w:space="0" w:color="auto"/>
              <w:left w:val="single" w:sz="4" w:space="0" w:color="auto"/>
              <w:bottom w:val="single" w:sz="4" w:space="0" w:color="auto"/>
              <w:right w:val="single" w:sz="4" w:space="0" w:color="auto"/>
            </w:tcBorders>
          </w:tcPr>
          <w:p w:rsidR="002F567A" w:rsidRPr="00BA5143" w:rsidRDefault="00F14CE7" w:rsidP="002F567A">
            <w:pPr>
              <w:spacing w:line="200" w:lineRule="exact"/>
              <w:rPr>
                <w:sz w:val="20"/>
                <w:lang w:val="en-US" w:eastAsia="uk-UA"/>
              </w:rPr>
            </w:pPr>
            <w:r w:rsidRPr="00BA5143">
              <w:rPr>
                <w:sz w:val="20"/>
                <w:lang w:val="en-US" w:eastAsia="uk-UA"/>
              </w:rPr>
              <w:t>Changes in operating assets and liabilities:</w:t>
            </w:r>
          </w:p>
        </w:tc>
      </w:tr>
      <w:tr w:rsidR="00F14CE7" w:rsidRPr="00BA5143" w:rsidTr="002F567A">
        <w:trPr>
          <w:trHeight w:val="134"/>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other financial assets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31</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other assets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10</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highlight w:val="yellow"/>
                <w:lang w:val="en-US" w:eastAsia="uk-UA"/>
              </w:rPr>
            </w:pPr>
            <w:r w:rsidRPr="00BA5143">
              <w:rPr>
                <w:sz w:val="20"/>
                <w:lang w:val="en-US" w:eastAsia="uk-UA"/>
              </w:rPr>
              <w:t>(1 996)</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(15)</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customer funds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11</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(1 927)</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2 524</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other financial liabilities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highlight w:val="yellow"/>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4</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(3)</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other liabilities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highlight w:val="yellow"/>
                <w:lang w:val="en-US" w:eastAsia="uk-UA"/>
              </w:rPr>
            </w:pPr>
            <w:r w:rsidRPr="00BA5143">
              <w:rPr>
                <w:sz w:val="20"/>
                <w:lang w:val="en-US" w:eastAsia="uk-UA"/>
              </w:rPr>
              <w:t>13</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(3)</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sz w:val="20"/>
                <w:lang w:val="en-US" w:eastAsia="uk-UA"/>
              </w:rPr>
            </w:pPr>
            <w:r w:rsidRPr="00BA5143">
              <w:rPr>
                <w:sz w:val="20"/>
                <w:lang w:val="en-US" w:eastAsia="uk-UA"/>
              </w:rPr>
              <w:t>(94)</w:t>
            </w:r>
          </w:p>
        </w:tc>
      </w:tr>
      <w:tr w:rsidR="00F14CE7" w:rsidRPr="00BA5143" w:rsidTr="002F567A">
        <w:trPr>
          <w:trHeight w:val="307"/>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Net cash received / (used) from operating activities before income tax</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highlight w:val="yellow"/>
                <w:lang w:val="en-US" w:eastAsia="uk-UA"/>
              </w:rPr>
            </w:pPr>
            <w:r w:rsidRPr="00BA5143">
              <w:rPr>
                <w:b/>
                <w:bCs/>
                <w:sz w:val="20"/>
                <w:lang w:val="en-US" w:eastAsia="uk-UA"/>
              </w:rPr>
              <w:t>4 073</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(8 543)</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Income tax paid</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Cs/>
                <w:sz w:val="20"/>
                <w:lang w:val="en-US" w:eastAsia="uk-UA"/>
              </w:rPr>
            </w:pPr>
            <w:r w:rsidRPr="00BA5143">
              <w:rPr>
                <w:bCs/>
                <w:sz w:val="20"/>
                <w:lang w:val="en-US" w:eastAsia="uk-UA"/>
              </w:rPr>
              <w:t>-</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Cs/>
                <w:sz w:val="20"/>
                <w:lang w:val="en-US" w:eastAsia="uk-UA"/>
              </w:rPr>
            </w:pPr>
            <w:r w:rsidRPr="00BA5143">
              <w:rPr>
                <w:bCs/>
                <w:sz w:val="20"/>
                <w:lang w:val="en-US" w:eastAsia="uk-UA"/>
              </w:rPr>
              <w:t>-</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Net cash received / (used) from operating activities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4 073</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(8 543)</w:t>
            </w:r>
          </w:p>
        </w:tc>
      </w:tr>
      <w:tr w:rsidR="002F567A" w:rsidRPr="006C58AD" w:rsidTr="002F567A">
        <w:trPr>
          <w:trHeight w:val="109"/>
        </w:trPr>
        <w:tc>
          <w:tcPr>
            <w:tcW w:w="9747" w:type="dxa"/>
            <w:gridSpan w:val="4"/>
            <w:tcBorders>
              <w:top w:val="single" w:sz="4" w:space="0" w:color="auto"/>
              <w:left w:val="single" w:sz="4" w:space="0" w:color="auto"/>
              <w:bottom w:val="single" w:sz="4" w:space="0" w:color="auto"/>
              <w:right w:val="single" w:sz="4" w:space="0" w:color="auto"/>
            </w:tcBorders>
          </w:tcPr>
          <w:p w:rsidR="002F567A" w:rsidRPr="00BA5143" w:rsidRDefault="00F14CE7" w:rsidP="002F567A">
            <w:pPr>
              <w:spacing w:line="200" w:lineRule="exact"/>
              <w:rPr>
                <w:sz w:val="20"/>
                <w:lang w:val="en-US" w:eastAsia="uk-UA"/>
              </w:rPr>
            </w:pPr>
            <w:r w:rsidRPr="00BA5143">
              <w:rPr>
                <w:sz w:val="20"/>
                <w:lang w:val="en-US" w:eastAsia="uk-UA"/>
              </w:rPr>
              <w:t>MONEY FUNDS FROM INVESTMENT ACTIVITIES</w:t>
            </w:r>
          </w:p>
        </w:tc>
      </w:tr>
      <w:tr w:rsidR="00F14CE7" w:rsidRPr="00BA5143" w:rsidTr="002F567A">
        <w:trPr>
          <w:trHeight w:val="102"/>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Purchase of securities in the bank's portfolio to maturity</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(2 310 991)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(1 269 428)</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Proceeds from redemption of securities in the bank's portfolio until maturity</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2 295 498</w:t>
            </w:r>
          </w:p>
          <w:p w:rsidR="00F14CE7" w:rsidRPr="00BA5143" w:rsidRDefault="00F14CE7" w:rsidP="00F14CE7">
            <w:pPr>
              <w:spacing w:line="200" w:lineRule="exact"/>
              <w:jc w:val="right"/>
              <w:rPr>
                <w:sz w:val="20"/>
                <w:lang w:val="en-US"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1 184 445</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Purchase of fixed assets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(479)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(245)</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Purchase of investment property</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0</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Purchase of intangible assets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(129)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CE7" w:rsidRPr="00BA5143" w:rsidRDefault="00F14CE7" w:rsidP="00F14CE7">
            <w:pPr>
              <w:spacing w:line="200" w:lineRule="exact"/>
              <w:jc w:val="right"/>
              <w:rPr>
                <w:sz w:val="20"/>
                <w:lang w:val="en-US" w:eastAsia="uk-UA"/>
              </w:rPr>
            </w:pPr>
            <w:r w:rsidRPr="00BA5143">
              <w:rPr>
                <w:sz w:val="20"/>
                <w:lang w:val="en-US" w:eastAsia="uk-UA"/>
              </w:rPr>
              <w:t>(45)</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Net cash received / (used) from investment activity</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(16 101)</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(85 273)</w:t>
            </w:r>
          </w:p>
        </w:tc>
      </w:tr>
      <w:tr w:rsidR="002F567A" w:rsidRPr="006C58AD" w:rsidTr="002F567A">
        <w:trPr>
          <w:trHeight w:val="109"/>
        </w:trPr>
        <w:tc>
          <w:tcPr>
            <w:tcW w:w="9747" w:type="dxa"/>
            <w:gridSpan w:val="4"/>
            <w:tcBorders>
              <w:top w:val="single" w:sz="4" w:space="0" w:color="auto"/>
              <w:left w:val="single" w:sz="4" w:space="0" w:color="auto"/>
              <w:bottom w:val="single" w:sz="4" w:space="0" w:color="auto"/>
              <w:right w:val="single" w:sz="4" w:space="0" w:color="auto"/>
            </w:tcBorders>
          </w:tcPr>
          <w:p w:rsidR="002F567A" w:rsidRPr="00BA5143" w:rsidRDefault="00F14CE7" w:rsidP="002F567A">
            <w:pPr>
              <w:spacing w:line="200" w:lineRule="exact"/>
              <w:rPr>
                <w:sz w:val="20"/>
                <w:lang w:val="en-US" w:eastAsia="uk-UA"/>
              </w:rPr>
            </w:pPr>
            <w:r w:rsidRPr="00BA5143">
              <w:rPr>
                <w:sz w:val="20"/>
                <w:lang w:val="en-US" w:eastAsia="uk-UA"/>
              </w:rPr>
              <w:t>MONEY FUNDS FROM FINANCIAL ACTIVITIES</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Obtaining a subordinated debt</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14</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sz w:val="20"/>
                <w:lang w:val="en-US" w:eastAsia="uk-UA"/>
              </w:rPr>
              <w:t>11 900</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lang w:val="en-US"/>
              </w:rPr>
              <w:t>-</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Repayment of subordinated debt</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sz w:val="20"/>
                <w:lang w:val="en-US" w:eastAsia="uk-UA"/>
              </w:rPr>
              <w:t>-</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sz w:val="20"/>
                <w:lang w:val="en-US" w:eastAsia="uk-UA"/>
              </w:rPr>
              <w:t>(28 000)</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Issue of ordinary shares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sz w:val="20"/>
                <w:lang w:val="en-US" w:eastAsia="uk-UA"/>
              </w:rPr>
            </w:pPr>
            <w:r w:rsidRPr="00BA5143">
              <w:rPr>
                <w:sz w:val="20"/>
                <w:lang w:val="en-US" w:eastAsia="uk-UA"/>
              </w:rPr>
              <w:t>-</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sz w:val="20"/>
                <w:lang w:val="en-US" w:eastAsia="uk-UA"/>
              </w:rPr>
            </w:pPr>
            <w:r w:rsidRPr="00BA5143">
              <w:rPr>
                <w:sz w:val="20"/>
                <w:lang w:val="en-US" w:eastAsia="uk-UA"/>
              </w:rPr>
              <w:t>124 000</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Emission differences and other additional capital</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lang w:val="en-US"/>
              </w:rPr>
              <w:t>-</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lang w:val="en-US"/>
              </w:rPr>
            </w:pPr>
            <w:r w:rsidRPr="00BA5143">
              <w:rPr>
                <w:lang w:val="en-US"/>
              </w:rPr>
              <w:t>(162)</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Net cash received / (used) from financial activities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11 900</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95 838</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Impact of changes in the official exchange rate on cash and cash equivalents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0</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0</w:t>
            </w:r>
          </w:p>
        </w:tc>
      </w:tr>
      <w:tr w:rsidR="00F14CE7" w:rsidRPr="00BA5143" w:rsidTr="002F567A">
        <w:trPr>
          <w:trHeight w:val="208"/>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sz w:val="20"/>
                <w:lang w:val="en-US" w:eastAsia="uk-UA"/>
              </w:rPr>
            </w:pPr>
            <w:r w:rsidRPr="00BA5143">
              <w:rPr>
                <w:sz w:val="20"/>
                <w:lang w:val="en-US" w:eastAsia="uk-UA"/>
              </w:rPr>
              <w:t>Net increase / (decrease) in cash and cash equivalents</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sz w:val="20"/>
                <w:lang w:val="en-US" w:eastAsia="uk-UA"/>
              </w:rPr>
            </w:pPr>
            <w:r w:rsidRPr="00BA5143">
              <w:rPr>
                <w:sz w:val="20"/>
                <w:lang w:val="en-US" w:eastAsia="uk-UA"/>
              </w:rPr>
              <w:t>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highlight w:val="yellow"/>
                <w:lang w:val="en-US" w:eastAsia="uk-UA"/>
              </w:rPr>
            </w:pPr>
            <w:r w:rsidRPr="00BA5143">
              <w:rPr>
                <w:b/>
                <w:bCs/>
                <w:sz w:val="20"/>
                <w:lang w:val="en-US" w:eastAsia="uk-UA"/>
              </w:rPr>
              <w:t>(128)</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highlight w:val="yellow"/>
                <w:lang w:val="en-US" w:eastAsia="uk-UA"/>
              </w:rPr>
            </w:pPr>
            <w:r w:rsidRPr="00BA5143">
              <w:rPr>
                <w:b/>
                <w:bCs/>
                <w:sz w:val="20"/>
                <w:lang w:val="en-US" w:eastAsia="uk-UA"/>
              </w:rPr>
              <w:t>2 022</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Cash and cash equivalents at the beginning of the period</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center"/>
              <w:rPr>
                <w:b/>
                <w:bCs/>
                <w:sz w:val="20"/>
                <w:lang w:val="en-US" w:eastAsia="uk-UA"/>
              </w:rPr>
            </w:pPr>
            <w:r w:rsidRPr="00BA5143">
              <w:rPr>
                <w:b/>
                <w:bCs/>
                <w:sz w:val="20"/>
                <w:lang w:val="en-US" w:eastAsia="uk-UA"/>
              </w:rPr>
              <w:t> 6 </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lang w:val="en-US" w:eastAsia="uk-UA"/>
              </w:rPr>
            </w:pPr>
            <w:r w:rsidRPr="00BA5143">
              <w:rPr>
                <w:b/>
                <w:bCs/>
                <w:sz w:val="20"/>
                <w:lang w:val="en-US" w:eastAsia="uk-UA"/>
              </w:rPr>
              <w:t>3 417</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jc w:val="right"/>
              <w:rPr>
                <w:b/>
                <w:bCs/>
                <w:sz w:val="20"/>
                <w:highlight w:val="yellow"/>
                <w:lang w:val="en-US" w:eastAsia="uk-UA"/>
              </w:rPr>
            </w:pPr>
            <w:r w:rsidRPr="00BA5143">
              <w:rPr>
                <w:b/>
                <w:bCs/>
                <w:sz w:val="20"/>
                <w:lang w:val="en-US" w:eastAsia="uk-UA"/>
              </w:rPr>
              <w:t>1 395</w:t>
            </w:r>
          </w:p>
        </w:tc>
      </w:tr>
      <w:tr w:rsidR="00F14CE7" w:rsidRPr="00BA5143" w:rsidTr="002F567A">
        <w:trPr>
          <w:trHeight w:val="109"/>
        </w:trPr>
        <w:tc>
          <w:tcPr>
            <w:tcW w:w="5778"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spacing w:line="200" w:lineRule="exact"/>
              <w:rPr>
                <w:b/>
                <w:bCs/>
                <w:sz w:val="20"/>
                <w:lang w:val="en-US" w:eastAsia="uk-UA"/>
              </w:rPr>
            </w:pPr>
            <w:r w:rsidRPr="00BA5143">
              <w:rPr>
                <w:b/>
                <w:bCs/>
                <w:sz w:val="20"/>
                <w:lang w:val="en-US" w:eastAsia="uk-UA"/>
              </w:rPr>
              <w:t>Cash and cash equivalents at the end of the period</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center"/>
              <w:rPr>
                <w:sz w:val="20"/>
                <w:lang w:val="en-US" w:eastAsia="uk-UA"/>
              </w:rPr>
            </w:pPr>
            <w:r w:rsidRPr="00BA5143">
              <w:rPr>
                <w:sz w:val="20"/>
                <w:lang w:val="en-US" w:eastAsia="uk-UA"/>
              </w:rPr>
              <w:t>6</w:t>
            </w:r>
          </w:p>
        </w:tc>
        <w:tc>
          <w:tcPr>
            <w:tcW w:w="1276"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b/>
                <w:bCs/>
                <w:sz w:val="20"/>
                <w:lang w:val="en-US" w:eastAsia="uk-UA"/>
              </w:rPr>
            </w:pPr>
            <w:r w:rsidRPr="00BA5143">
              <w:rPr>
                <w:b/>
                <w:bCs/>
                <w:sz w:val="20"/>
                <w:lang w:val="en-US" w:eastAsia="uk-UA"/>
              </w:rPr>
              <w:t>3 289</w:t>
            </w:r>
          </w:p>
        </w:tc>
        <w:tc>
          <w:tcPr>
            <w:tcW w:w="1417" w:type="dxa"/>
            <w:tcBorders>
              <w:top w:val="single" w:sz="4" w:space="0" w:color="auto"/>
              <w:left w:val="single" w:sz="4" w:space="0" w:color="auto"/>
              <w:bottom w:val="single" w:sz="4" w:space="0" w:color="auto"/>
              <w:right w:val="single" w:sz="4" w:space="0" w:color="auto"/>
            </w:tcBorders>
          </w:tcPr>
          <w:p w:rsidR="00F14CE7" w:rsidRPr="00BA5143" w:rsidRDefault="00F14CE7" w:rsidP="00F14CE7">
            <w:pPr>
              <w:jc w:val="right"/>
              <w:rPr>
                <w:b/>
                <w:bCs/>
                <w:sz w:val="20"/>
                <w:highlight w:val="yellow"/>
                <w:lang w:val="en-US" w:eastAsia="uk-UA"/>
              </w:rPr>
            </w:pPr>
            <w:r w:rsidRPr="00BA5143">
              <w:rPr>
                <w:b/>
                <w:bCs/>
                <w:sz w:val="20"/>
                <w:lang w:val="en-US" w:eastAsia="uk-UA"/>
              </w:rPr>
              <w:t>3 417</w:t>
            </w:r>
          </w:p>
        </w:tc>
      </w:tr>
    </w:tbl>
    <w:p w:rsidR="00860BED" w:rsidRPr="00BA5143" w:rsidRDefault="00860BED" w:rsidP="00860BED">
      <w:pPr>
        <w:pStyle w:val="a4"/>
        <w:spacing w:after="120" w:afterAutospacing="0" w:line="240" w:lineRule="exact"/>
        <w:jc w:val="both"/>
        <w:rPr>
          <w:color w:val="000000"/>
          <w:sz w:val="20"/>
          <w:szCs w:val="20"/>
          <w:lang w:val="en-US"/>
        </w:rPr>
      </w:pPr>
      <w:r w:rsidRPr="00BA5143">
        <w:rPr>
          <w:color w:val="000000"/>
          <w:sz w:val="20"/>
          <w:szCs w:val="20"/>
          <w:lang w:val="en-US"/>
        </w:rPr>
        <w:t>The notes on pages 8-6</w:t>
      </w:r>
      <w:bookmarkStart w:id="0" w:name="_GoBack"/>
      <w:bookmarkEnd w:id="0"/>
      <w:r w:rsidR="00B3678C">
        <w:rPr>
          <w:color w:val="000000"/>
          <w:sz w:val="20"/>
          <w:szCs w:val="20"/>
          <w:lang w:val="en-US"/>
        </w:rPr>
        <w:t>5</w:t>
      </w:r>
      <w:r w:rsidRPr="00BA5143">
        <w:rPr>
          <w:color w:val="000000"/>
          <w:sz w:val="20"/>
          <w:szCs w:val="20"/>
          <w:lang w:val="en-US"/>
        </w:rPr>
        <w:t xml:space="preserve"> are an integral part of the financial statements of the Bank for 2018.</w:t>
      </w:r>
    </w:p>
    <w:p w:rsidR="00860BED" w:rsidRPr="00BA5143" w:rsidRDefault="00860BED" w:rsidP="00860BED">
      <w:pPr>
        <w:pStyle w:val="a4"/>
        <w:tabs>
          <w:tab w:val="left" w:pos="3969"/>
          <w:tab w:val="left" w:pos="4111"/>
        </w:tabs>
        <w:spacing w:after="120" w:line="240" w:lineRule="exact"/>
        <w:jc w:val="both"/>
        <w:rPr>
          <w:color w:val="000000"/>
          <w:lang w:val="en-US"/>
        </w:rPr>
      </w:pPr>
      <w:r w:rsidRPr="00BA5143">
        <w:rPr>
          <w:color w:val="000000"/>
          <w:lang w:val="en-US"/>
        </w:rPr>
        <w:t>Approved for issue and signed</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March 18, 2019</w:t>
      </w: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p>
    <w:p w:rsidR="00860BED" w:rsidRPr="00BA5143" w:rsidRDefault="00860BED" w:rsidP="00860BED">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 xml:space="preserve">Chairman                                            </w:t>
      </w:r>
      <w:r w:rsidRPr="00BA5143">
        <w:rPr>
          <w:color w:val="000000"/>
          <w:lang w:val="en-US"/>
        </w:rPr>
        <w:tab/>
        <w:t xml:space="preserve">                  О. Loktionov </w:t>
      </w:r>
    </w:p>
    <w:p w:rsidR="00860BED" w:rsidRPr="00BA5143" w:rsidRDefault="00860BED" w:rsidP="00860BED">
      <w:pPr>
        <w:pStyle w:val="a4"/>
        <w:tabs>
          <w:tab w:val="left" w:pos="4111"/>
        </w:tabs>
        <w:spacing w:before="0" w:beforeAutospacing="0" w:after="0" w:afterAutospacing="0" w:line="240" w:lineRule="exact"/>
        <w:jc w:val="both"/>
        <w:rPr>
          <w:color w:val="000000"/>
          <w:lang w:val="en-US"/>
        </w:rPr>
      </w:pPr>
      <w:r w:rsidRPr="00BA5143">
        <w:rPr>
          <w:color w:val="000000"/>
          <w:lang w:val="en-US"/>
        </w:rPr>
        <w:t xml:space="preserve">Chief </w:t>
      </w:r>
      <w:r w:rsidR="00201937" w:rsidRPr="00BA5143">
        <w:rPr>
          <w:color w:val="000000"/>
          <w:lang w:val="en-US"/>
        </w:rPr>
        <w:t>accountant</w:t>
      </w:r>
      <w:r w:rsidRPr="00BA5143">
        <w:rPr>
          <w:color w:val="000000"/>
          <w:lang w:val="en-US"/>
        </w:rPr>
        <w:tab/>
      </w:r>
      <w:r w:rsidRPr="00BA5143">
        <w:rPr>
          <w:color w:val="000000"/>
          <w:lang w:val="en-US"/>
        </w:rPr>
        <w:tab/>
      </w:r>
      <w:r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Pr="00BA5143">
        <w:rPr>
          <w:color w:val="000000"/>
          <w:lang w:val="en-US"/>
        </w:rPr>
        <w:t xml:space="preserve"> </w:t>
      </w:r>
    </w:p>
    <w:p w:rsidR="00860BED" w:rsidRPr="00BA5143" w:rsidRDefault="00860BED" w:rsidP="00860BED">
      <w:pPr>
        <w:pStyle w:val="a4"/>
        <w:tabs>
          <w:tab w:val="left" w:pos="4111"/>
        </w:tabs>
        <w:spacing w:before="0" w:beforeAutospacing="0" w:after="0" w:afterAutospacing="0" w:line="240" w:lineRule="exact"/>
        <w:jc w:val="both"/>
        <w:rPr>
          <w:color w:val="000000"/>
          <w:sz w:val="20"/>
          <w:szCs w:val="20"/>
          <w:u w:val="single"/>
          <w:lang w:val="en-US"/>
        </w:rPr>
      </w:pPr>
      <w:r w:rsidRPr="00BA5143">
        <w:rPr>
          <w:color w:val="000000"/>
          <w:sz w:val="20"/>
          <w:szCs w:val="20"/>
          <w:u w:val="single"/>
          <w:lang w:val="en-US"/>
        </w:rPr>
        <w:t xml:space="preserve">N. </w:t>
      </w:r>
      <w:proofErr w:type="spellStart"/>
      <w:r w:rsidRPr="00BA5143">
        <w:rPr>
          <w:color w:val="000000"/>
          <w:sz w:val="20"/>
          <w:szCs w:val="20"/>
          <w:u w:val="single"/>
          <w:lang w:val="en-US"/>
        </w:rPr>
        <w:t>Zelen</w:t>
      </w:r>
      <w:r w:rsidR="006C58AD">
        <w:rPr>
          <w:color w:val="000000"/>
          <w:sz w:val="20"/>
          <w:szCs w:val="20"/>
          <w:u w:val="single"/>
          <w:lang w:val="en-US"/>
        </w:rPr>
        <w:t>i</w:t>
      </w:r>
      <w:r w:rsidRPr="00BA5143">
        <w:rPr>
          <w:color w:val="000000"/>
          <w:sz w:val="20"/>
          <w:szCs w:val="20"/>
          <w:u w:val="single"/>
          <w:lang w:val="en-US"/>
        </w:rPr>
        <w:t>uk</w:t>
      </w:r>
      <w:proofErr w:type="spellEnd"/>
      <w:r w:rsidRPr="00BA5143">
        <w:rPr>
          <w:color w:val="000000"/>
          <w:sz w:val="20"/>
          <w:szCs w:val="20"/>
          <w:u w:val="single"/>
          <w:lang w:val="en-US"/>
        </w:rPr>
        <w:t xml:space="preserve"> tel. 454 27 00  </w:t>
      </w:r>
    </w:p>
    <w:p w:rsidR="00860BED" w:rsidRPr="00BA5143" w:rsidRDefault="00860BED" w:rsidP="00860BED">
      <w:pPr>
        <w:pStyle w:val="a4"/>
        <w:tabs>
          <w:tab w:val="left" w:pos="4111"/>
        </w:tabs>
        <w:spacing w:before="0" w:beforeAutospacing="0" w:after="0" w:afterAutospacing="0" w:line="240" w:lineRule="exact"/>
        <w:jc w:val="both"/>
        <w:rPr>
          <w:color w:val="000000"/>
          <w:vertAlign w:val="superscript"/>
          <w:lang w:val="en-US"/>
        </w:rPr>
      </w:pPr>
      <w:r w:rsidRPr="00BA5143">
        <w:rPr>
          <w:color w:val="000000"/>
          <w:vertAlign w:val="superscript"/>
          <w:lang w:val="en-US"/>
        </w:rPr>
        <w:t>(performer surname, phone number)</w:t>
      </w:r>
    </w:p>
    <w:p w:rsidR="002F567A" w:rsidRPr="00BA5143" w:rsidRDefault="002F567A" w:rsidP="005B3DBE">
      <w:pPr>
        <w:ind w:firstLine="540"/>
        <w:rPr>
          <w:b/>
          <w:sz w:val="28"/>
          <w:szCs w:val="28"/>
          <w:lang w:val="en-US"/>
        </w:rPr>
      </w:pPr>
    </w:p>
    <w:p w:rsidR="002F567A" w:rsidRPr="00BA5143" w:rsidRDefault="002F567A" w:rsidP="005B3DBE">
      <w:pPr>
        <w:ind w:firstLine="540"/>
        <w:rPr>
          <w:b/>
          <w:sz w:val="28"/>
          <w:szCs w:val="28"/>
          <w:lang w:val="en-US"/>
        </w:rPr>
      </w:pPr>
    </w:p>
    <w:p w:rsidR="00201937" w:rsidRPr="00BA5143" w:rsidRDefault="00201937" w:rsidP="005B3DBE">
      <w:pPr>
        <w:ind w:firstLine="540"/>
        <w:rPr>
          <w:b/>
          <w:sz w:val="28"/>
          <w:szCs w:val="28"/>
          <w:lang w:val="en-US"/>
        </w:rPr>
      </w:pPr>
    </w:p>
    <w:p w:rsidR="0036086A" w:rsidRPr="00BA5143" w:rsidRDefault="00F14CE7" w:rsidP="005B3DBE">
      <w:pPr>
        <w:ind w:firstLine="540"/>
        <w:rPr>
          <w:b/>
          <w:sz w:val="28"/>
          <w:szCs w:val="28"/>
          <w:lang w:val="en-US"/>
        </w:rPr>
      </w:pPr>
      <w:r w:rsidRPr="00BA5143">
        <w:rPr>
          <w:b/>
          <w:sz w:val="28"/>
          <w:szCs w:val="28"/>
          <w:lang w:val="en-US"/>
        </w:rPr>
        <w:t>Note</w:t>
      </w:r>
      <w:r w:rsidR="005B3DBE" w:rsidRPr="00BA5143">
        <w:rPr>
          <w:b/>
          <w:sz w:val="28"/>
          <w:szCs w:val="28"/>
          <w:lang w:val="en-US"/>
        </w:rPr>
        <w:t xml:space="preserve"> 1. </w:t>
      </w:r>
      <w:r w:rsidRPr="00BA5143">
        <w:rPr>
          <w:b/>
          <w:sz w:val="28"/>
          <w:szCs w:val="28"/>
          <w:lang w:val="en-US"/>
        </w:rPr>
        <w:t>Information about the bank</w:t>
      </w:r>
    </w:p>
    <w:p w:rsidR="0036086A" w:rsidRPr="00BA5143" w:rsidRDefault="0036086A" w:rsidP="0036086A">
      <w:pPr>
        <w:rPr>
          <w:b/>
          <w:sz w:val="28"/>
          <w:szCs w:val="28"/>
          <w:highlight w:val="yellow"/>
          <w:lang w:val="en-US"/>
        </w:rPr>
      </w:pPr>
    </w:p>
    <w:p w:rsidR="00ED1577" w:rsidRPr="00BA5143" w:rsidRDefault="00F14CE7" w:rsidP="00617073">
      <w:pPr>
        <w:ind w:firstLine="540"/>
        <w:jc w:val="both"/>
        <w:rPr>
          <w:lang w:val="en-US"/>
        </w:rPr>
      </w:pPr>
      <w:r w:rsidRPr="00BA5143">
        <w:rPr>
          <w:lang w:val="en-US"/>
        </w:rPr>
        <w:t>Joint Stock Company "Ukrainian Bank for Reconstruction and Development" was founded in Ukraine on December 17, 2003 as the Closed Joint-Stock Company "Ukrainian Bank for Reconstruction and Development" and registered with the National Bank of Ukraine (NBU) on March 19, 2004. On October 01, 2007 the Bank was transformed into Open Joint-Stock Company "Ukrainian Bank for Reconstruction and Development". As a result of changes in the Law of Ukraine "On Joint Stock Companies" on August 28, 2009 the name was changed to Public Joint Stock Company "Ukrainian Bank for Reconstruction and Development". On November 1, 2018, in connection with the changes in the Law of Ukraine "On Joint Stock Companies", the Bank changed the type of a joint-stock company into a private joint-stock company, and also changed the name to the Joint-Stock Company "Ukrainian Bank for Reconstruction and Development". The Bank is the successor of all rights and obligations of the Open Joint Stock Company "Ukrainian Bank for Reconstruction and Development", the Closed Joint-Stock Company "Ukrainian Bank for Reconstruction and Development" and the Public Joint-Stock Company "Ukrainian Bank for Reconstruction and Development".</w:t>
      </w:r>
    </w:p>
    <w:p w:rsidR="00F14CE7" w:rsidRPr="00BA5143" w:rsidRDefault="00F14CE7" w:rsidP="00617073">
      <w:pPr>
        <w:ind w:firstLine="540"/>
        <w:jc w:val="both"/>
        <w:rPr>
          <w:highlight w:val="yellow"/>
          <w:lang w:val="en-US"/>
        </w:rPr>
      </w:pPr>
    </w:p>
    <w:p w:rsidR="009D1766" w:rsidRPr="00BA5143" w:rsidRDefault="004C00D1" w:rsidP="00617073">
      <w:pPr>
        <w:ind w:firstLine="540"/>
        <w:jc w:val="both"/>
        <w:rPr>
          <w:lang w:val="en-US"/>
        </w:rPr>
      </w:pPr>
      <w:r w:rsidRPr="00BA5143">
        <w:rPr>
          <w:lang w:val="en-US"/>
        </w:rPr>
        <w:t>Location of the bank</w:t>
      </w:r>
      <w:r w:rsidR="00935783" w:rsidRPr="00BA5143">
        <w:rPr>
          <w:lang w:val="en-US"/>
        </w:rPr>
        <w:t xml:space="preserve">: </w:t>
      </w:r>
      <w:r w:rsidRPr="00BA5143">
        <w:rPr>
          <w:lang w:val="en-US"/>
        </w:rPr>
        <w:t xml:space="preserve">4, Oleksiya Terekhina str., Kyiv, Ukraine, </w:t>
      </w:r>
      <w:r w:rsidR="00935783" w:rsidRPr="00BA5143">
        <w:rPr>
          <w:lang w:val="en-US"/>
        </w:rPr>
        <w:t>04080</w:t>
      </w:r>
      <w:r w:rsidRPr="00BA5143">
        <w:rPr>
          <w:lang w:val="en-US"/>
        </w:rPr>
        <w:t>.</w:t>
      </w:r>
    </w:p>
    <w:p w:rsidR="00E61370" w:rsidRPr="00BA5143" w:rsidRDefault="00E61370" w:rsidP="0036086A">
      <w:pPr>
        <w:ind w:firstLine="540"/>
        <w:rPr>
          <w:sz w:val="22"/>
          <w:szCs w:val="22"/>
          <w:highlight w:val="yellow"/>
          <w:lang w:val="en-US"/>
        </w:rPr>
      </w:pPr>
    </w:p>
    <w:p w:rsidR="004C00D1" w:rsidRPr="00BA5143" w:rsidRDefault="004C00D1" w:rsidP="004C00D1">
      <w:pPr>
        <w:pStyle w:val="21"/>
        <w:ind w:firstLine="539"/>
        <w:rPr>
          <w:lang w:val="en-US"/>
        </w:rPr>
      </w:pPr>
      <w:r w:rsidRPr="00BA5143">
        <w:rPr>
          <w:lang w:val="en-US"/>
        </w:rPr>
        <w:t xml:space="preserve">JSC "Ukrainian Bank for Reconstruction and Development" during the reporting year carries out its activities within the limits of the banking license No. 216 issued by the National Bank of Ukraine on 15.11.2011 and the general license of the National Bank of Ukraine No. 216-2 dated 18.06.2018 for the right to carry out foreign exchange </w:t>
      </w:r>
      <w:r w:rsidR="00201937" w:rsidRPr="00BA5143">
        <w:rPr>
          <w:lang w:val="en-US"/>
        </w:rPr>
        <w:t>operations.</w:t>
      </w:r>
      <w:r w:rsidRPr="00BA5143">
        <w:rPr>
          <w:lang w:val="en-US"/>
        </w:rPr>
        <w:t xml:space="preserve"> In accordance with the banking license, the Bank has the right to provide banking services as defined in part three of Article 47 of the Law of Ukraine "On Banks and Banking".</w:t>
      </w:r>
    </w:p>
    <w:p w:rsidR="004C00D1" w:rsidRPr="00BA5143" w:rsidRDefault="004C00D1" w:rsidP="004C00D1">
      <w:pPr>
        <w:pStyle w:val="21"/>
        <w:ind w:firstLine="539"/>
        <w:rPr>
          <w:lang w:val="en-US"/>
        </w:rPr>
      </w:pPr>
      <w:r w:rsidRPr="00BA5143">
        <w:rPr>
          <w:lang w:val="en-US"/>
        </w:rPr>
        <w:t>In addition, the Bank has Licenses of the State Commission for Securities and Stock Market for the professional activity in the stock market - securities trading activities: dealership.</w:t>
      </w:r>
    </w:p>
    <w:p w:rsidR="004C00D1" w:rsidRPr="00BA5143" w:rsidRDefault="004C00D1" w:rsidP="004C00D1">
      <w:pPr>
        <w:pStyle w:val="21"/>
        <w:ind w:firstLine="539"/>
        <w:rPr>
          <w:lang w:val="en-US"/>
        </w:rPr>
      </w:pPr>
      <w:r w:rsidRPr="00BA5143">
        <w:rPr>
          <w:lang w:val="en-US"/>
        </w:rPr>
        <w:t>The main activities of the Bank include commercial activities, loans, cash and cash services to customers, as well as other types of banking activities.</w:t>
      </w:r>
    </w:p>
    <w:p w:rsidR="00137041" w:rsidRPr="00BA5143" w:rsidRDefault="004C00D1" w:rsidP="004C00D1">
      <w:pPr>
        <w:pStyle w:val="21"/>
        <w:ind w:firstLine="539"/>
        <w:rPr>
          <w:lang w:val="en-US"/>
        </w:rPr>
      </w:pPr>
      <w:r w:rsidRPr="00BA5143">
        <w:rPr>
          <w:lang w:val="en-US"/>
        </w:rPr>
        <w:t>The Bank is a member of the Guarantee Fund for Individuals Deposits Certificate No. 169 dated November 19, 2012.</w:t>
      </w:r>
    </w:p>
    <w:p w:rsidR="004C00D1" w:rsidRPr="00BA5143" w:rsidRDefault="004C00D1" w:rsidP="004C00D1">
      <w:pPr>
        <w:pStyle w:val="21"/>
        <w:ind w:firstLine="539"/>
        <w:rPr>
          <w:lang w:val="en-US"/>
        </w:rPr>
      </w:pPr>
    </w:p>
    <w:p w:rsidR="008D5518" w:rsidRPr="00BA5143" w:rsidRDefault="004C00D1" w:rsidP="00BE20F1">
      <w:pPr>
        <w:ind w:firstLine="567"/>
        <w:jc w:val="both"/>
        <w:rPr>
          <w:lang w:val="en-US"/>
        </w:rPr>
      </w:pPr>
      <w:r w:rsidRPr="00BA5143">
        <w:rPr>
          <w:lang w:val="en-US"/>
        </w:rPr>
        <w:t>JSC "Ukrainian Bank for Reconstruction and Development" is a universal banking institution that can provide the full range of banking services in accordance with the current legislation of Ukraine and in accordance with existing bank and general licenses of the National Bank of Ukraine and licenses of the State Commission for Securities and Stock Market.</w:t>
      </w:r>
    </w:p>
    <w:p w:rsidR="00BE20F1" w:rsidRPr="00BA5143" w:rsidRDefault="00BE20F1" w:rsidP="008D5518">
      <w:pPr>
        <w:jc w:val="both"/>
        <w:rPr>
          <w:highlight w:val="yellow"/>
          <w:lang w:val="en-US"/>
        </w:rPr>
      </w:pPr>
    </w:p>
    <w:p w:rsidR="00DE2999" w:rsidRPr="00BA5143" w:rsidRDefault="00DE2999" w:rsidP="00DE2999">
      <w:pPr>
        <w:ind w:left="360"/>
        <w:jc w:val="both"/>
        <w:rPr>
          <w:lang w:val="en-US"/>
        </w:rPr>
      </w:pPr>
      <w:r w:rsidRPr="00BA5143">
        <w:rPr>
          <w:lang w:val="en-US"/>
        </w:rPr>
        <w:t>In the reporting year 2018, the Bank's main activities were banking operations:</w:t>
      </w:r>
    </w:p>
    <w:p w:rsidR="00DE2999" w:rsidRPr="00BA5143" w:rsidRDefault="00DE2999" w:rsidP="00DE2999">
      <w:pPr>
        <w:ind w:left="360"/>
        <w:jc w:val="both"/>
        <w:rPr>
          <w:lang w:val="en-US"/>
        </w:rPr>
      </w:pPr>
      <w:r w:rsidRPr="00BA5143">
        <w:rPr>
          <w:lang w:val="en-US"/>
        </w:rPr>
        <w:t>- opening and maintenance of current accounts of clients (in national and foreign currencies);</w:t>
      </w:r>
    </w:p>
    <w:p w:rsidR="00DE2999" w:rsidRPr="00BA5143" w:rsidRDefault="00DE2999" w:rsidP="00DE2999">
      <w:pPr>
        <w:ind w:left="360"/>
        <w:jc w:val="both"/>
        <w:rPr>
          <w:lang w:val="en-US"/>
        </w:rPr>
      </w:pPr>
      <w:r w:rsidRPr="00BA5143">
        <w:rPr>
          <w:lang w:val="en-US"/>
        </w:rPr>
        <w:t>- attraction of funds to deposit accounts;</w:t>
      </w:r>
    </w:p>
    <w:p w:rsidR="00DE2999" w:rsidRPr="00BA5143" w:rsidRDefault="00DE2999" w:rsidP="00DE2999">
      <w:pPr>
        <w:ind w:left="360"/>
        <w:jc w:val="both"/>
        <w:rPr>
          <w:lang w:val="en-US"/>
        </w:rPr>
      </w:pPr>
      <w:r w:rsidRPr="00BA5143">
        <w:rPr>
          <w:lang w:val="en-US"/>
        </w:rPr>
        <w:t>- placement of funds on correspondent accounts with other banks;</w:t>
      </w:r>
    </w:p>
    <w:p w:rsidR="00DE2999" w:rsidRPr="00BA5143" w:rsidRDefault="00DE2999" w:rsidP="00DE2999">
      <w:pPr>
        <w:ind w:left="360"/>
        <w:jc w:val="both"/>
        <w:rPr>
          <w:lang w:val="en-US"/>
        </w:rPr>
      </w:pPr>
      <w:r w:rsidRPr="00BA5143">
        <w:rPr>
          <w:lang w:val="en-US"/>
        </w:rPr>
        <w:t>- operations on the securities market on its own behalf;</w:t>
      </w:r>
    </w:p>
    <w:p w:rsidR="00DE2999" w:rsidRPr="00BA5143" w:rsidRDefault="00DE2999" w:rsidP="00DE2999">
      <w:pPr>
        <w:ind w:left="360"/>
        <w:jc w:val="both"/>
        <w:rPr>
          <w:lang w:val="en-US"/>
        </w:rPr>
      </w:pPr>
      <w:r w:rsidRPr="00BA5143">
        <w:rPr>
          <w:lang w:val="en-US"/>
        </w:rPr>
        <w:t>- purchase / sale of foreign currency on the interbank foreign exchange market of Ukraine on its own behalf and on behalf of clients;</w:t>
      </w:r>
    </w:p>
    <w:p w:rsidR="00DE2999" w:rsidRPr="00BA5143" w:rsidRDefault="00DE2999" w:rsidP="00DE2999">
      <w:pPr>
        <w:ind w:left="360"/>
        <w:jc w:val="both"/>
        <w:rPr>
          <w:lang w:val="en-US"/>
        </w:rPr>
      </w:pPr>
      <w:r w:rsidRPr="00BA5143">
        <w:rPr>
          <w:lang w:val="en-US"/>
        </w:rPr>
        <w:t>- purchase / sale of cash foreign currency through the Bank's cash desk</w:t>
      </w:r>
    </w:p>
    <w:p w:rsidR="00DE2999" w:rsidRPr="00BA5143" w:rsidRDefault="00DE2999" w:rsidP="00DE2999">
      <w:pPr>
        <w:ind w:left="360"/>
        <w:jc w:val="both"/>
        <w:rPr>
          <w:lang w:val="en-US"/>
        </w:rPr>
      </w:pPr>
    </w:p>
    <w:p w:rsidR="00137041" w:rsidRPr="00BA5143" w:rsidRDefault="00DE2999" w:rsidP="00DE2999">
      <w:pPr>
        <w:ind w:left="360"/>
        <w:jc w:val="both"/>
        <w:rPr>
          <w:lang w:val="en-US"/>
        </w:rPr>
      </w:pPr>
      <w:r w:rsidRPr="00BA5143">
        <w:rPr>
          <w:lang w:val="en-US"/>
        </w:rPr>
        <w:t>In 2018, the Bank operated on the territory of one region.</w:t>
      </w:r>
    </w:p>
    <w:p w:rsidR="00DE2999" w:rsidRPr="00BA5143" w:rsidRDefault="00DE2999" w:rsidP="00DE2999">
      <w:pPr>
        <w:ind w:left="360"/>
        <w:jc w:val="both"/>
        <w:rPr>
          <w:highlight w:val="yellow"/>
          <w:lang w:val="en-US"/>
        </w:rPr>
      </w:pPr>
    </w:p>
    <w:p w:rsidR="00DE2999" w:rsidRPr="00BA5143" w:rsidRDefault="00DE2999" w:rsidP="00DE2999">
      <w:pPr>
        <w:ind w:firstLine="567"/>
        <w:jc w:val="both"/>
        <w:rPr>
          <w:lang w:val="en-US"/>
        </w:rPr>
      </w:pPr>
      <w:r w:rsidRPr="00BA5143">
        <w:rPr>
          <w:lang w:val="en-US"/>
        </w:rPr>
        <w:lastRenderedPageBreak/>
        <w:t xml:space="preserve">As of </w:t>
      </w:r>
      <w:r w:rsidR="00201937" w:rsidRPr="00BA5143">
        <w:rPr>
          <w:lang w:val="en-US"/>
        </w:rPr>
        <w:t>December 31, 2018,</w:t>
      </w:r>
      <w:r w:rsidRPr="00BA5143">
        <w:rPr>
          <w:lang w:val="en-US"/>
        </w:rPr>
        <w:t xml:space="preserve"> and on December 31, 2017 the sole shareholder of the bank, which owns 100% share capital was Limited Liability Company "Bose (HONG KONG) CO., LIMITED" (Ukraine).</w:t>
      </w:r>
    </w:p>
    <w:p w:rsidR="00AD44A0" w:rsidRPr="00BA5143" w:rsidRDefault="00DE2999" w:rsidP="00242671">
      <w:pPr>
        <w:ind w:firstLine="567"/>
        <w:jc w:val="both"/>
        <w:rPr>
          <w:lang w:val="en-US"/>
        </w:rPr>
      </w:pPr>
      <w:r w:rsidRPr="00BA5143">
        <w:rPr>
          <w:lang w:val="en-US"/>
        </w:rPr>
        <w:t xml:space="preserve">The owners of significant share of the Bank at December 31, 2018 are citizens of </w:t>
      </w:r>
      <w:r w:rsidR="003678B3" w:rsidRPr="00BA5143">
        <w:rPr>
          <w:lang w:val="en-US"/>
        </w:rPr>
        <w:t>China Yan Dunshen and Dai Junun</w:t>
      </w:r>
      <w:r w:rsidRPr="00BA5143">
        <w:rPr>
          <w:lang w:val="en-US"/>
        </w:rPr>
        <w:t xml:space="preserve"> together</w:t>
      </w:r>
      <w:r w:rsidR="003678B3" w:rsidRPr="00BA5143">
        <w:rPr>
          <w:lang w:val="en-US"/>
        </w:rPr>
        <w:t>,</w:t>
      </w:r>
      <w:r w:rsidRPr="00BA5143">
        <w:rPr>
          <w:lang w:val="en-US"/>
        </w:rPr>
        <w:t xml:space="preserve"> that became common indirect participation of 100% due to:</w:t>
      </w:r>
    </w:p>
    <w:p w:rsidR="003678B3" w:rsidRPr="00BA5143" w:rsidRDefault="003678B3" w:rsidP="003678B3">
      <w:pPr>
        <w:tabs>
          <w:tab w:val="num" w:pos="851"/>
        </w:tabs>
        <w:jc w:val="both"/>
        <w:rPr>
          <w:lang w:val="en-US" w:eastAsia="zh-CN"/>
        </w:rPr>
      </w:pPr>
    </w:p>
    <w:p w:rsidR="003678B3" w:rsidRPr="00BA5143" w:rsidRDefault="003678B3" w:rsidP="00242671">
      <w:pPr>
        <w:pStyle w:val="afc"/>
        <w:numPr>
          <w:ilvl w:val="0"/>
          <w:numId w:val="35"/>
        </w:numPr>
        <w:tabs>
          <w:tab w:val="num" w:pos="851"/>
        </w:tabs>
        <w:jc w:val="both"/>
        <w:rPr>
          <w:lang w:val="en-US" w:eastAsia="zh-CN"/>
        </w:rPr>
      </w:pPr>
      <w:r w:rsidRPr="00BA5143">
        <w:rPr>
          <w:lang w:val="en-US" w:eastAsia="zh-CN"/>
        </w:rPr>
        <w:t>LIMITED LIABILITY COMPANY “BOSE (HONGKONG) CO, LIMITED", in which 80% of the participation is owned by BOSE (Hong Kong) Co., Limited” and 20% by Yan Dunshen;</w:t>
      </w:r>
    </w:p>
    <w:p w:rsidR="003678B3" w:rsidRPr="00BA5143" w:rsidRDefault="003678B3" w:rsidP="00242671">
      <w:pPr>
        <w:pStyle w:val="afc"/>
        <w:numPr>
          <w:ilvl w:val="0"/>
          <w:numId w:val="35"/>
        </w:numPr>
        <w:tabs>
          <w:tab w:val="num" w:pos="851"/>
        </w:tabs>
        <w:jc w:val="both"/>
        <w:rPr>
          <w:lang w:val="en-US" w:eastAsia="zh-CN"/>
        </w:rPr>
      </w:pPr>
      <w:r w:rsidRPr="00BA5143">
        <w:rPr>
          <w:lang w:val="en-US" w:eastAsia="zh-CN"/>
        </w:rPr>
        <w:t xml:space="preserve">“BOSE (Hong Kong) Co., Limited” (Hong Kong), 100% of its authorized capital is </w:t>
      </w:r>
      <w:r w:rsidR="00242671" w:rsidRPr="00BA5143">
        <w:rPr>
          <w:lang w:val="en-US" w:eastAsia="zh-CN"/>
        </w:rPr>
        <w:t>“</w:t>
      </w:r>
      <w:r w:rsidRPr="00BA5143">
        <w:rPr>
          <w:lang w:val="en-US" w:eastAsia="zh-CN"/>
        </w:rPr>
        <w:t xml:space="preserve">Baoshi (Tianjin) Electronics </w:t>
      </w:r>
      <w:r w:rsidR="00242671" w:rsidRPr="00BA5143">
        <w:rPr>
          <w:lang w:val="en-US" w:eastAsia="zh-CN"/>
        </w:rPr>
        <w:t xml:space="preserve">Commerse </w:t>
      </w:r>
      <w:r w:rsidRPr="00BA5143">
        <w:rPr>
          <w:lang w:val="en-US" w:eastAsia="zh-CN"/>
        </w:rPr>
        <w:t>Co., Ltd.</w:t>
      </w:r>
      <w:r w:rsidR="00242671" w:rsidRPr="00BA5143">
        <w:rPr>
          <w:lang w:val="en-US" w:eastAsia="zh-CN"/>
        </w:rPr>
        <w:t>”</w:t>
      </w:r>
      <w:r w:rsidRPr="00BA5143">
        <w:rPr>
          <w:lang w:val="en-US" w:eastAsia="zh-CN"/>
        </w:rPr>
        <w:t xml:space="preserve"> (Baoshi (Tianjin) Electronical Commerce Co., Ltd);</w:t>
      </w:r>
    </w:p>
    <w:p w:rsidR="003678B3" w:rsidRPr="00BA5143" w:rsidRDefault="00242671" w:rsidP="00242671">
      <w:pPr>
        <w:pStyle w:val="afc"/>
        <w:numPr>
          <w:ilvl w:val="0"/>
          <w:numId w:val="35"/>
        </w:numPr>
        <w:tabs>
          <w:tab w:val="num" w:pos="851"/>
        </w:tabs>
        <w:jc w:val="both"/>
        <w:rPr>
          <w:lang w:val="en-US" w:eastAsia="zh-CN"/>
        </w:rPr>
      </w:pPr>
      <w:r w:rsidRPr="00BA5143">
        <w:rPr>
          <w:lang w:val="en-US" w:eastAsia="zh-CN"/>
        </w:rPr>
        <w:t>“</w:t>
      </w:r>
      <w:r w:rsidR="003678B3" w:rsidRPr="00BA5143">
        <w:rPr>
          <w:lang w:val="en-US" w:eastAsia="zh-CN"/>
        </w:rPr>
        <w:t xml:space="preserve">Baoshi (Tianjin) Electronics </w:t>
      </w:r>
      <w:r w:rsidRPr="00BA5143">
        <w:rPr>
          <w:lang w:val="en-US" w:eastAsia="zh-CN"/>
        </w:rPr>
        <w:t>C</w:t>
      </w:r>
      <w:r w:rsidR="003678B3" w:rsidRPr="00BA5143">
        <w:rPr>
          <w:lang w:val="en-US" w:eastAsia="zh-CN"/>
        </w:rPr>
        <w:t>om</w:t>
      </w:r>
      <w:r w:rsidRPr="00BA5143">
        <w:rPr>
          <w:lang w:val="en-US" w:eastAsia="zh-CN"/>
        </w:rPr>
        <w:t>m</w:t>
      </w:r>
      <w:r w:rsidR="003678B3" w:rsidRPr="00BA5143">
        <w:rPr>
          <w:lang w:val="en-US" w:eastAsia="zh-CN"/>
        </w:rPr>
        <w:t>ers Co., Ltd.</w:t>
      </w:r>
      <w:r w:rsidRPr="00BA5143">
        <w:rPr>
          <w:lang w:val="en-US" w:eastAsia="zh-CN"/>
        </w:rPr>
        <w:t>”</w:t>
      </w:r>
      <w:r w:rsidR="003678B3" w:rsidRPr="00BA5143">
        <w:rPr>
          <w:lang w:val="en-US" w:eastAsia="zh-CN"/>
        </w:rPr>
        <w:t xml:space="preserve">, 99% of its share capital which belongs to </w:t>
      </w:r>
      <w:r w:rsidRPr="00BA5143">
        <w:rPr>
          <w:lang w:val="en-US" w:eastAsia="zh-CN"/>
        </w:rPr>
        <w:t>“</w:t>
      </w:r>
      <w:r w:rsidR="003678B3" w:rsidRPr="00BA5143">
        <w:rPr>
          <w:lang w:val="en-US" w:eastAsia="zh-CN"/>
        </w:rPr>
        <w:t>Tianjin Bohai Commodity Exchange Co.</w:t>
      </w:r>
      <w:r w:rsidRPr="00BA5143">
        <w:rPr>
          <w:lang w:val="en-US" w:eastAsia="zh-CN"/>
        </w:rPr>
        <w:t>”</w:t>
      </w:r>
      <w:r w:rsidR="003678B3" w:rsidRPr="00BA5143">
        <w:rPr>
          <w:lang w:val="en-US" w:eastAsia="zh-CN"/>
        </w:rPr>
        <w:t>, Ltd, Tianjin Limited Liability Company;</w:t>
      </w:r>
    </w:p>
    <w:p w:rsidR="003678B3" w:rsidRPr="00BA5143" w:rsidRDefault="003678B3" w:rsidP="00242671">
      <w:pPr>
        <w:pStyle w:val="afc"/>
        <w:numPr>
          <w:ilvl w:val="0"/>
          <w:numId w:val="35"/>
        </w:numPr>
        <w:tabs>
          <w:tab w:val="num" w:pos="851"/>
        </w:tabs>
        <w:jc w:val="both"/>
        <w:rPr>
          <w:lang w:val="en-US" w:eastAsia="zh-CN"/>
        </w:rPr>
      </w:pPr>
      <w:r w:rsidRPr="00BA5143">
        <w:rPr>
          <w:lang w:val="en-US" w:eastAsia="zh-CN"/>
        </w:rPr>
        <w:t xml:space="preserve">Tianjin Limited Liability Company "Bohai Commodity Exchange", 15.5113% of which belongs to Yan Dunshen; 31.5802% of the ownership interest in the </w:t>
      </w:r>
      <w:r w:rsidR="00242671" w:rsidRPr="00BA5143">
        <w:rPr>
          <w:lang w:val="en-US" w:eastAsia="zh-CN"/>
        </w:rPr>
        <w:t>“</w:t>
      </w:r>
      <w:r w:rsidRPr="00BA5143">
        <w:rPr>
          <w:lang w:val="en-US" w:eastAsia="zh-CN"/>
        </w:rPr>
        <w:t xml:space="preserve">Bo </w:t>
      </w:r>
      <w:r w:rsidR="00242671" w:rsidRPr="00BA5143">
        <w:rPr>
          <w:lang w:val="en-US" w:eastAsia="zh-CN"/>
        </w:rPr>
        <w:t>Xu”</w:t>
      </w:r>
      <w:r w:rsidRPr="00BA5143">
        <w:rPr>
          <w:lang w:val="en-US" w:eastAsia="zh-CN"/>
        </w:rPr>
        <w:t xml:space="preserve"> Promotional Investment Company (Khorgos) (Limited Partnership) (Norso Bo Xu Equity Investments Limited Partnership);</w:t>
      </w:r>
    </w:p>
    <w:p w:rsidR="003678B3" w:rsidRPr="00BA5143" w:rsidRDefault="003678B3" w:rsidP="00242671">
      <w:pPr>
        <w:pStyle w:val="afc"/>
        <w:numPr>
          <w:ilvl w:val="0"/>
          <w:numId w:val="35"/>
        </w:numPr>
        <w:tabs>
          <w:tab w:val="num" w:pos="851"/>
        </w:tabs>
        <w:jc w:val="both"/>
        <w:rPr>
          <w:lang w:val="en-US" w:eastAsia="zh-CN"/>
        </w:rPr>
      </w:pPr>
      <w:r w:rsidRPr="00BA5143">
        <w:rPr>
          <w:lang w:val="en-US" w:eastAsia="zh-CN"/>
        </w:rPr>
        <w:t xml:space="preserve">Shares investment company "Bo </w:t>
      </w:r>
      <w:r w:rsidR="00242671" w:rsidRPr="00BA5143">
        <w:rPr>
          <w:lang w:val="en-US" w:eastAsia="zh-CN"/>
        </w:rPr>
        <w:t>Xu</w:t>
      </w:r>
      <w:r w:rsidRPr="00BA5143">
        <w:rPr>
          <w:lang w:val="en-US" w:eastAsia="zh-CN"/>
        </w:rPr>
        <w:t>" (Horgos) (Limited partnership), 90% of which belongs to Yan Dunsheng and 10% Dai Junun.</w:t>
      </w:r>
    </w:p>
    <w:p w:rsidR="00137041" w:rsidRPr="00BA5143" w:rsidRDefault="00137041" w:rsidP="00B24F02">
      <w:pPr>
        <w:tabs>
          <w:tab w:val="num" w:pos="851"/>
        </w:tabs>
        <w:ind w:left="360"/>
        <w:jc w:val="both"/>
        <w:rPr>
          <w:highlight w:val="yellow"/>
          <w:lang w:val="en-US"/>
        </w:rPr>
      </w:pPr>
    </w:p>
    <w:p w:rsidR="000D3A23" w:rsidRPr="00BA5143" w:rsidRDefault="000D3A23" w:rsidP="000D3A23">
      <w:pPr>
        <w:ind w:firstLine="567"/>
        <w:jc w:val="both"/>
        <w:rPr>
          <w:lang w:val="en-US"/>
        </w:rPr>
      </w:pPr>
      <w:r w:rsidRPr="00BA5143">
        <w:rPr>
          <w:lang w:val="en-US"/>
        </w:rPr>
        <w:t>The share of management in shares of the Bank is absent.</w:t>
      </w:r>
    </w:p>
    <w:p w:rsidR="000D3A23" w:rsidRPr="00BA5143" w:rsidRDefault="000D3A23" w:rsidP="000D3A23">
      <w:pPr>
        <w:ind w:firstLine="567"/>
        <w:jc w:val="both"/>
        <w:rPr>
          <w:lang w:val="en-US"/>
        </w:rPr>
      </w:pPr>
    </w:p>
    <w:p w:rsidR="0051569C" w:rsidRPr="00BA5143" w:rsidRDefault="000D3A23" w:rsidP="000D3A23">
      <w:pPr>
        <w:ind w:firstLine="567"/>
        <w:jc w:val="both"/>
        <w:rPr>
          <w:lang w:val="en-US"/>
        </w:rPr>
      </w:pPr>
      <w:r w:rsidRPr="00BA5143">
        <w:rPr>
          <w:lang w:val="en-US"/>
        </w:rPr>
        <w:t>These financial statements were approved by the Board of the Bank on March 18, 2019.</w:t>
      </w:r>
    </w:p>
    <w:p w:rsidR="000D3A23" w:rsidRPr="00BA5143" w:rsidRDefault="000D3A23" w:rsidP="000D3A23">
      <w:pPr>
        <w:ind w:firstLine="567"/>
        <w:jc w:val="both"/>
        <w:rPr>
          <w:highlight w:val="yellow"/>
          <w:lang w:val="en-US"/>
        </w:rPr>
      </w:pPr>
    </w:p>
    <w:p w:rsidR="00573D17" w:rsidRPr="00BA5143" w:rsidRDefault="000D3A23" w:rsidP="00B24F02">
      <w:pPr>
        <w:jc w:val="both"/>
        <w:rPr>
          <w:b/>
          <w:lang w:val="en-US"/>
        </w:rPr>
      </w:pPr>
      <w:r w:rsidRPr="00BA5143">
        <w:rPr>
          <w:b/>
          <w:lang w:val="en-US"/>
        </w:rPr>
        <w:t>Note 2. Economic environment in which the bank carries out its activities</w:t>
      </w:r>
    </w:p>
    <w:p w:rsidR="000D3A23" w:rsidRPr="00BA5143" w:rsidRDefault="000D3A23" w:rsidP="00B24F02">
      <w:pPr>
        <w:jc w:val="both"/>
        <w:rPr>
          <w:highlight w:val="yellow"/>
          <w:lang w:val="en-US"/>
        </w:rPr>
      </w:pPr>
    </w:p>
    <w:p w:rsidR="000D3A23" w:rsidRPr="00BA5143" w:rsidRDefault="000D3A23" w:rsidP="000D3A23">
      <w:pPr>
        <w:ind w:firstLine="567"/>
        <w:jc w:val="both"/>
        <w:rPr>
          <w:lang w:val="en-US"/>
        </w:rPr>
      </w:pPr>
      <w:r w:rsidRPr="00BA5143">
        <w:rPr>
          <w:lang w:val="en-US"/>
        </w:rPr>
        <w:t>Overall for 2018, the banking system continued to recover after the crisis. The level of bankruptcies in the market was minimal over the past 5 years. The only bank that went to the management of the temporary administration of the Deposit Guarantee Fund was VTB Bank.</w:t>
      </w:r>
    </w:p>
    <w:p w:rsidR="000D3A23" w:rsidRPr="00BA5143" w:rsidRDefault="000D3A23" w:rsidP="000D3A23">
      <w:pPr>
        <w:ind w:firstLine="567"/>
        <w:jc w:val="both"/>
        <w:rPr>
          <w:lang w:val="en-US"/>
        </w:rPr>
      </w:pPr>
      <w:r w:rsidRPr="00BA5143">
        <w:rPr>
          <w:lang w:val="en-US"/>
        </w:rPr>
        <w:t>In the reporting year, the banking system was exposed to a number of risks and threats, the main of which were:</w:t>
      </w:r>
    </w:p>
    <w:p w:rsidR="000D3A23" w:rsidRPr="00BA5143" w:rsidRDefault="000D3A23" w:rsidP="000D3A23">
      <w:pPr>
        <w:ind w:firstLine="567"/>
        <w:jc w:val="both"/>
        <w:rPr>
          <w:iCs/>
          <w:lang w:val="en-US"/>
        </w:rPr>
      </w:pPr>
      <w:r w:rsidRPr="00BA5143">
        <w:rPr>
          <w:i/>
          <w:lang w:val="en-US"/>
        </w:rPr>
        <w:t xml:space="preserve">Inflation risk. </w:t>
      </w:r>
      <w:r w:rsidRPr="00BA5143">
        <w:rPr>
          <w:iCs/>
          <w:lang w:val="en-US"/>
        </w:rPr>
        <w:t>In order to prevent significant losses in the banking system as a result of the impairment of credit and deposit portfolios of the banks, the National Bank used the forced increase of the discount rate during the year to 18%. Such an increase was an answer to the increase in prices in 2017.</w:t>
      </w:r>
    </w:p>
    <w:p w:rsidR="000D3A23" w:rsidRPr="00BA5143" w:rsidRDefault="000D3A23" w:rsidP="000D3A23">
      <w:pPr>
        <w:ind w:firstLine="567"/>
        <w:jc w:val="both"/>
        <w:rPr>
          <w:i/>
          <w:lang w:val="en-US"/>
        </w:rPr>
      </w:pPr>
      <w:r w:rsidRPr="00BA5143">
        <w:rPr>
          <w:i/>
          <w:lang w:val="en-US"/>
        </w:rPr>
        <w:t>High payments on external debt and autumn uncertainty with the IMF tranche.</w:t>
      </w:r>
      <w:r w:rsidRPr="00BA5143">
        <w:rPr>
          <w:iCs/>
          <w:lang w:val="en-US"/>
        </w:rPr>
        <w:t xml:space="preserve"> The situation was saved by the fact that after a long negotiation and legislative process, the previous funding program was replaced by a "standby agreement", and the authorities eventually fulfilled their promise of budget adoption and gas price increase. As a result, gold and foreign exchange reserves at the end of 2018 reached $ 17.7 billion.</w:t>
      </w:r>
    </w:p>
    <w:p w:rsidR="00B33159" w:rsidRPr="00BA5143" w:rsidRDefault="00B33159" w:rsidP="00B33159">
      <w:pPr>
        <w:ind w:firstLine="567"/>
        <w:jc w:val="both"/>
        <w:rPr>
          <w:iCs/>
          <w:lang w:val="en-US"/>
        </w:rPr>
      </w:pPr>
      <w:r w:rsidRPr="00BA5143">
        <w:rPr>
          <w:i/>
          <w:lang w:val="en-US"/>
        </w:rPr>
        <w:t xml:space="preserve">Introduction of a military state on part of the territory of Ukraine. </w:t>
      </w:r>
      <w:r w:rsidRPr="00BA5143">
        <w:rPr>
          <w:iCs/>
          <w:lang w:val="en-US"/>
        </w:rPr>
        <w:t>However, this at least led to a partial exchange rate jump and a certain withdrawal of deposits in the border areas, however, there was a temporary and limited character in terms of capacity.</w:t>
      </w:r>
    </w:p>
    <w:p w:rsidR="00B33159" w:rsidRPr="00BA5143" w:rsidRDefault="00B33159" w:rsidP="00B33159">
      <w:pPr>
        <w:ind w:firstLine="567"/>
        <w:jc w:val="both"/>
        <w:rPr>
          <w:iCs/>
          <w:lang w:val="en-US"/>
        </w:rPr>
      </w:pPr>
      <w:r w:rsidRPr="00BA5143">
        <w:rPr>
          <w:iCs/>
          <w:lang w:val="en-US"/>
        </w:rPr>
        <w:t>In general, the banking sector worked without significant internal or external shocks - banks actively attracted funding and lent. In total, the loan portfolio of banks grew by 8.1% to UAH 616 billion. The volume of the deposit portfolio of banks in national currency in 2018 grew by 10% - to UAH 539.7 billion, while in foreign currency - by 1.6%, to $ 8.6 billion. The volume of hryvnia deposit portfolio by results year exceeded the pre-crisis level that the banking system had in 2013.</w:t>
      </w:r>
    </w:p>
    <w:p w:rsidR="00B33159" w:rsidRPr="00BA5143" w:rsidRDefault="00B33159" w:rsidP="00B33159">
      <w:pPr>
        <w:ind w:firstLine="567"/>
        <w:jc w:val="both"/>
        <w:rPr>
          <w:lang w:val="en-US"/>
        </w:rPr>
      </w:pPr>
      <w:r w:rsidRPr="00BA5143">
        <w:rPr>
          <w:iCs/>
          <w:lang w:val="en-US"/>
        </w:rPr>
        <w:lastRenderedPageBreak/>
        <w:t>Banks' interest rates grew, first of all, as a result of the gradual increase of the NBU discount rate from October 2017. The discount rate grew by an average of 5.5 p.p. - up to 18% per annum. Also, the market conditions influenced the growth of market rates. Thus, the value of business loans for the year increased by 6.6 p.p. - up to 20,9% per annum, and the cost of loans for the population - by 3,9 p.p. - up to 33.1% per annum.</w:t>
      </w:r>
    </w:p>
    <w:p w:rsidR="00B33159" w:rsidRPr="00BA5143" w:rsidRDefault="00B33159" w:rsidP="00B33159">
      <w:pPr>
        <w:ind w:firstLine="567"/>
        <w:jc w:val="both"/>
        <w:rPr>
          <w:lang w:val="en-US"/>
        </w:rPr>
      </w:pPr>
      <w:r w:rsidRPr="00BA5143">
        <w:rPr>
          <w:lang w:val="en-US"/>
        </w:rPr>
        <w:t xml:space="preserve">In 2018, the banking system was profitable for the first time in the last 5 years, receiving 21.7 billion </w:t>
      </w:r>
      <w:r w:rsidR="00201937" w:rsidRPr="00BA5143">
        <w:rPr>
          <w:lang w:val="en-US"/>
        </w:rPr>
        <w:t>UAH of</w:t>
      </w:r>
      <w:r w:rsidRPr="00BA5143">
        <w:rPr>
          <w:lang w:val="en-US"/>
        </w:rPr>
        <w:t xml:space="preserve"> net profit. Significant growth in profitability was made possible by reducing deductions in reserves with stable growth of interest and commission income. In particular, the volume of deductions by banks in reserves has decreased more than doubled - from 49.2 billion UAH in 2017 to 23.7 billion UAH in 2018 At the same time, net interest and commission income of the banking system increased by a total of 38%.</w:t>
      </w:r>
    </w:p>
    <w:p w:rsidR="00B33159" w:rsidRPr="00BA5143" w:rsidRDefault="00B33159" w:rsidP="00B33159">
      <w:pPr>
        <w:ind w:firstLine="567"/>
        <w:jc w:val="both"/>
        <w:rPr>
          <w:lang w:val="en-US"/>
        </w:rPr>
      </w:pPr>
      <w:r w:rsidRPr="00BA5143">
        <w:rPr>
          <w:lang w:val="en-US"/>
        </w:rPr>
        <w:t>Inflation in 2018 was the smallest in the last 5 years. Thus, according to the results of 2018, the base inflation slowed down to 8.7</w:t>
      </w:r>
      <w:r w:rsidR="00201937" w:rsidRPr="00BA5143">
        <w:rPr>
          <w:lang w:val="en-US"/>
        </w:rPr>
        <w:t>% compared</w:t>
      </w:r>
      <w:r w:rsidRPr="00BA5143">
        <w:rPr>
          <w:lang w:val="en-US"/>
        </w:rPr>
        <w:t xml:space="preserve"> with 9.5% in 2017, but exceeded the target of the National Bank by 6% ± 2 at the end of 2018.</w:t>
      </w:r>
    </w:p>
    <w:p w:rsidR="00B33159" w:rsidRPr="00BA5143" w:rsidRDefault="00B33159" w:rsidP="00B24F02">
      <w:pPr>
        <w:ind w:firstLine="567"/>
        <w:jc w:val="both"/>
        <w:rPr>
          <w:lang w:val="en-US"/>
        </w:rPr>
      </w:pPr>
      <w:r w:rsidRPr="00BA5143">
        <w:rPr>
          <w:lang w:val="en-US"/>
        </w:rPr>
        <w:t>It is expected that in 2019, inflation will continue to decline to 5%. The next 12 months are expected to further increase volumes of goods and services production in Ukraine, high levels of business activity and a slight increase in devaluation processes. There are high expectations about the growth of production volumes. Growth is expected by enterprises of all types and directions of activity, size by number of employees. Domestic enterprises gradually increase their expectations about the need for borrowed funds. The share of respondents planning to take out bank loans is growing. At the same time, the share of enterprises planning to attract foreign currency loans is growing. Banks, in turn, express readiness to lend and expect to improve the quality of the loan portfolio during the current year.</w:t>
      </w:r>
    </w:p>
    <w:p w:rsidR="00B33159" w:rsidRPr="00BA5143" w:rsidRDefault="00B33159" w:rsidP="00B33159">
      <w:pPr>
        <w:ind w:firstLine="540"/>
        <w:rPr>
          <w:lang w:val="en-US"/>
        </w:rPr>
      </w:pPr>
      <w:r w:rsidRPr="00BA5143">
        <w:rPr>
          <w:lang w:val="en-US"/>
        </w:rPr>
        <w:t>It is predicted that during 2019 the banking sector will remain profitable. Although there will be pressure on the interest margin, because in the general growth of interest rates in the economy and competition for deposits, the cost of funding banks will increase.</w:t>
      </w:r>
    </w:p>
    <w:p w:rsidR="00B33159" w:rsidRPr="00BA5143" w:rsidRDefault="00B33159" w:rsidP="00B33159">
      <w:pPr>
        <w:ind w:firstLine="540"/>
        <w:rPr>
          <w:lang w:val="en-US"/>
        </w:rPr>
      </w:pPr>
      <w:r w:rsidRPr="00BA5143">
        <w:rPr>
          <w:lang w:val="en-US"/>
        </w:rPr>
        <w:t>The main sources of financing of the Bank in the reported year were their own funds and funds attracted under the terms of subordinated debt.</w:t>
      </w:r>
    </w:p>
    <w:p w:rsidR="00B24F02" w:rsidRPr="00BA5143" w:rsidRDefault="00B33159" w:rsidP="00B33159">
      <w:pPr>
        <w:ind w:firstLine="540"/>
        <w:rPr>
          <w:lang w:val="en-US"/>
        </w:rPr>
      </w:pPr>
      <w:r w:rsidRPr="00BA5143">
        <w:rPr>
          <w:lang w:val="en-US"/>
        </w:rPr>
        <w:t>The Bank does not have any resources not recognized in the statement of financial position in accordance with IFRS.</w:t>
      </w:r>
    </w:p>
    <w:p w:rsidR="00014E17" w:rsidRPr="00BA5143" w:rsidRDefault="00014E17" w:rsidP="00B33159">
      <w:pPr>
        <w:ind w:firstLine="540"/>
        <w:rPr>
          <w:b/>
          <w:highlight w:val="yellow"/>
          <w:lang w:val="en-US"/>
        </w:rPr>
      </w:pPr>
    </w:p>
    <w:p w:rsidR="008D38CC" w:rsidRPr="00BA5143" w:rsidRDefault="00014E17" w:rsidP="00B24F02">
      <w:pPr>
        <w:ind w:firstLine="540"/>
        <w:rPr>
          <w:b/>
          <w:lang w:val="en-US"/>
        </w:rPr>
      </w:pPr>
      <w:r w:rsidRPr="00BA5143">
        <w:rPr>
          <w:b/>
          <w:lang w:val="en-US"/>
        </w:rPr>
        <w:t>Note 3. Basis of presentation of financial statements</w:t>
      </w:r>
    </w:p>
    <w:p w:rsidR="00014E17" w:rsidRPr="00BA5143" w:rsidRDefault="00014E17" w:rsidP="00B24F02">
      <w:pPr>
        <w:ind w:firstLine="540"/>
        <w:rPr>
          <w:lang w:val="en-US"/>
        </w:rPr>
      </w:pPr>
    </w:p>
    <w:p w:rsidR="00014E17" w:rsidRPr="00BA5143" w:rsidRDefault="00014E17" w:rsidP="00014E17">
      <w:pPr>
        <w:overflowPunct w:val="0"/>
        <w:autoSpaceDE w:val="0"/>
        <w:autoSpaceDN w:val="0"/>
        <w:ind w:firstLine="540"/>
        <w:jc w:val="both"/>
        <w:rPr>
          <w:lang w:val="en-US"/>
        </w:rPr>
      </w:pPr>
      <w:r w:rsidRPr="00BA5143">
        <w:rPr>
          <w:lang w:val="en-US"/>
        </w:rPr>
        <w:t>These financial statements of the Bank are prepared in accordance with International Financial Reporting Standards</w:t>
      </w:r>
    </w:p>
    <w:p w:rsidR="00014E17" w:rsidRPr="00BA5143" w:rsidRDefault="00014E17" w:rsidP="00014E17">
      <w:pPr>
        <w:overflowPunct w:val="0"/>
        <w:autoSpaceDE w:val="0"/>
        <w:autoSpaceDN w:val="0"/>
        <w:ind w:firstLine="540"/>
        <w:jc w:val="both"/>
        <w:rPr>
          <w:lang w:val="en-US"/>
        </w:rPr>
      </w:pPr>
      <w:r w:rsidRPr="00BA5143">
        <w:rPr>
          <w:lang w:val="en-US"/>
        </w:rPr>
        <w:t>These financial statements are prepared under the historical cost convention modified by the initial recognition of financial instruments at fair value and revaluation of financial instruments available for sale and derivatives, except as disclosed in the accounting policies below.</w:t>
      </w:r>
    </w:p>
    <w:p w:rsidR="00FF4247" w:rsidRPr="00BA5143" w:rsidRDefault="00014E17" w:rsidP="00FA7FB6">
      <w:pPr>
        <w:overflowPunct w:val="0"/>
        <w:autoSpaceDE w:val="0"/>
        <w:autoSpaceDN w:val="0"/>
        <w:ind w:firstLine="540"/>
        <w:jc w:val="both"/>
        <w:rPr>
          <w:lang w:val="en-US"/>
        </w:rPr>
      </w:pPr>
      <w:r w:rsidRPr="00BA5143">
        <w:rPr>
          <w:lang w:val="en-US"/>
        </w:rPr>
        <w:t>The Bank has applied the following IFRS, which are based on the main principles of accounting:</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1 “Presentation of Financial Statements”;</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8 “Accounting policies, changes in accounting estimates and errors”;</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10 “Events after the Reporting Period”;</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12 “Income Taxes”;</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IFRS 13 “Fair Value Measurement”;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16 “Property, Plant and Equipment”;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19 “Employee Benefits”;</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21 “Impact of exchange rates”;</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IAS 33 “Earnings per Share”;</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IAS 36 </w:t>
      </w:r>
      <w:r w:rsidR="00FA7FB6" w:rsidRPr="00BA5143">
        <w:rPr>
          <w:lang w:val="en-US"/>
        </w:rPr>
        <w:t>“</w:t>
      </w:r>
      <w:r w:rsidRPr="00BA5143">
        <w:rPr>
          <w:lang w:val="en-US"/>
        </w:rPr>
        <w:t>Impairment of Assets</w:t>
      </w:r>
      <w:r w:rsidR="00FA7FB6"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IAS 37 </w:t>
      </w:r>
      <w:r w:rsidR="00FA7FB6" w:rsidRPr="00BA5143">
        <w:rPr>
          <w:lang w:val="en-US"/>
        </w:rPr>
        <w:t>“</w:t>
      </w:r>
      <w:r w:rsidRPr="00BA5143">
        <w:rPr>
          <w:lang w:val="en-US"/>
        </w:rPr>
        <w:t>Provisions, Contingent Liabilities and Contingent Assets</w:t>
      </w:r>
      <w:r w:rsidR="00FA7FB6" w:rsidRPr="00BA5143">
        <w:rPr>
          <w:lang w:val="en-US"/>
        </w:rPr>
        <w:t>”</w:t>
      </w:r>
      <w:r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lastRenderedPageBreak/>
        <w:t xml:space="preserve">- IAS 40 </w:t>
      </w:r>
      <w:r w:rsidR="00FA7FB6" w:rsidRPr="00BA5143">
        <w:rPr>
          <w:lang w:val="en-US"/>
        </w:rPr>
        <w:t>“</w:t>
      </w:r>
      <w:r w:rsidRPr="00BA5143">
        <w:rPr>
          <w:lang w:val="en-US"/>
        </w:rPr>
        <w:t>Investment Property</w:t>
      </w:r>
      <w:r w:rsidR="00FA7FB6" w:rsidRPr="00BA5143">
        <w:rPr>
          <w:lang w:val="en-US"/>
        </w:rPr>
        <w:t>”</w:t>
      </w:r>
      <w:r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IFRS 9 </w:t>
      </w:r>
      <w:r w:rsidR="00FA7FB6" w:rsidRPr="00BA5143">
        <w:rPr>
          <w:lang w:val="en-US"/>
        </w:rPr>
        <w:t>“</w:t>
      </w:r>
      <w:r w:rsidRPr="00BA5143">
        <w:rPr>
          <w:lang w:val="en-US"/>
        </w:rPr>
        <w:t>Financial Instruments</w:t>
      </w:r>
      <w:r w:rsidR="00FA7FB6" w:rsidRPr="00BA5143">
        <w:rPr>
          <w:lang w:val="en-US"/>
        </w:rPr>
        <w:t>”</w:t>
      </w:r>
      <w:r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IFRS 7 </w:t>
      </w:r>
      <w:r w:rsidR="00FA7FB6" w:rsidRPr="00BA5143">
        <w:rPr>
          <w:lang w:val="en-US"/>
        </w:rPr>
        <w:t>“</w:t>
      </w:r>
      <w:r w:rsidRPr="00BA5143">
        <w:rPr>
          <w:lang w:val="en-US"/>
        </w:rPr>
        <w:t>Financial Instruments: Disclosures</w:t>
      </w:r>
      <w:r w:rsidR="00FA7FB6" w:rsidRPr="00BA5143">
        <w:rPr>
          <w:lang w:val="en-US"/>
        </w:rPr>
        <w:t xml:space="preserve"> of information”</w:t>
      </w:r>
      <w:r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IFRS 5 </w:t>
      </w:r>
      <w:r w:rsidR="00FA7FB6" w:rsidRPr="00BA5143">
        <w:rPr>
          <w:lang w:val="en-US"/>
        </w:rPr>
        <w:t>“</w:t>
      </w:r>
      <w:r w:rsidRPr="00BA5143">
        <w:rPr>
          <w:lang w:val="en-US"/>
        </w:rPr>
        <w:t>Non-current Assets Held for Sale and Discontinued Operations</w:t>
      </w:r>
      <w:r w:rsidR="00FA7FB6" w:rsidRPr="00BA5143">
        <w:rPr>
          <w:lang w:val="en-US"/>
        </w:rPr>
        <w:t>”</w:t>
      </w:r>
      <w:r w:rsidRPr="00BA5143">
        <w:rPr>
          <w:lang w:val="en-US"/>
        </w:rPr>
        <w:t>;</w:t>
      </w:r>
    </w:p>
    <w:p w:rsidR="00014E17" w:rsidRPr="00BA5143" w:rsidRDefault="00014E17" w:rsidP="00014E17">
      <w:pPr>
        <w:tabs>
          <w:tab w:val="left" w:pos="9214"/>
          <w:tab w:val="left" w:pos="9356"/>
        </w:tabs>
        <w:overflowPunct w:val="0"/>
        <w:autoSpaceDE w:val="0"/>
        <w:autoSpaceDN w:val="0"/>
        <w:ind w:left="720" w:right="-77"/>
        <w:rPr>
          <w:lang w:val="en-US"/>
        </w:rPr>
      </w:pPr>
      <w:r w:rsidRPr="00BA5143">
        <w:rPr>
          <w:lang w:val="en-US"/>
        </w:rPr>
        <w:t xml:space="preserve">- IFRS 8 </w:t>
      </w:r>
      <w:r w:rsidR="00FA7FB6" w:rsidRPr="00BA5143">
        <w:rPr>
          <w:lang w:val="en-US"/>
        </w:rPr>
        <w:t>“</w:t>
      </w:r>
      <w:r w:rsidRPr="00BA5143">
        <w:rPr>
          <w:lang w:val="en-US"/>
        </w:rPr>
        <w:t>Operating Segments</w:t>
      </w:r>
      <w:r w:rsidR="00FA7FB6" w:rsidRPr="00BA5143">
        <w:rPr>
          <w:lang w:val="en-US"/>
        </w:rPr>
        <w:t>”</w:t>
      </w:r>
      <w:r w:rsidRPr="00BA5143">
        <w:rPr>
          <w:lang w:val="en-US"/>
        </w:rPr>
        <w:t>;</w:t>
      </w:r>
    </w:p>
    <w:p w:rsidR="00087C25" w:rsidRPr="00BA5143" w:rsidRDefault="00014E17" w:rsidP="00014E17">
      <w:pPr>
        <w:tabs>
          <w:tab w:val="left" w:pos="9214"/>
          <w:tab w:val="left" w:pos="9356"/>
        </w:tabs>
        <w:overflowPunct w:val="0"/>
        <w:autoSpaceDE w:val="0"/>
        <w:autoSpaceDN w:val="0"/>
        <w:ind w:left="720" w:right="-77"/>
        <w:rPr>
          <w:highlight w:val="yellow"/>
          <w:lang w:val="en-US"/>
        </w:rPr>
      </w:pPr>
      <w:r w:rsidRPr="00BA5143">
        <w:rPr>
          <w:lang w:val="en-US"/>
        </w:rPr>
        <w:t xml:space="preserve">- IFRS 15 </w:t>
      </w:r>
      <w:r w:rsidR="00FA7FB6" w:rsidRPr="00BA5143">
        <w:rPr>
          <w:lang w:val="en-US"/>
        </w:rPr>
        <w:t>“</w:t>
      </w:r>
      <w:r w:rsidRPr="00BA5143">
        <w:rPr>
          <w:lang w:val="en-US"/>
        </w:rPr>
        <w:t>Revenue from contracts with customers</w:t>
      </w:r>
      <w:r w:rsidR="00FA7FB6" w:rsidRPr="00BA5143">
        <w:rPr>
          <w:lang w:val="en-US"/>
        </w:rPr>
        <w:t>”</w:t>
      </w:r>
      <w:r w:rsidRPr="00BA5143">
        <w:rPr>
          <w:lang w:val="en-US"/>
        </w:rPr>
        <w:t>.</w:t>
      </w:r>
    </w:p>
    <w:p w:rsidR="00FA7FB6" w:rsidRPr="00BA5143" w:rsidRDefault="00FA7FB6" w:rsidP="00FA7FB6">
      <w:pPr>
        <w:tabs>
          <w:tab w:val="left" w:pos="9356"/>
        </w:tabs>
        <w:ind w:right="-77" w:firstLine="540"/>
        <w:jc w:val="both"/>
        <w:rPr>
          <w:lang w:val="en-US"/>
        </w:rPr>
      </w:pPr>
      <w:r w:rsidRPr="00BA5143">
        <w:rPr>
          <w:lang w:val="en-US"/>
        </w:rPr>
        <w:t>The functional currency in which the Bank is accounting is hryvnia. Transactions in currencies other than the functional currency of the Bank are treated as operations with foreign currency.</w:t>
      </w:r>
    </w:p>
    <w:p w:rsidR="008D38CC" w:rsidRPr="00BA5143" w:rsidRDefault="00FA7FB6" w:rsidP="00FA7FB6">
      <w:pPr>
        <w:tabs>
          <w:tab w:val="left" w:pos="9356"/>
        </w:tabs>
        <w:ind w:right="-77" w:firstLine="540"/>
        <w:jc w:val="both"/>
        <w:rPr>
          <w:lang w:val="en-US"/>
        </w:rPr>
      </w:pPr>
      <w:r w:rsidRPr="00BA5143">
        <w:rPr>
          <w:lang w:val="en-US"/>
        </w:rPr>
        <w:t>The financial statements are presented in thousands of Ukrainian hryvnias ("ths. UAH."), Except for data in the calculation of profit for 1 ordinary share and unless otherwise specified.</w:t>
      </w:r>
    </w:p>
    <w:p w:rsidR="00FA7FB6" w:rsidRPr="00BA5143" w:rsidRDefault="00FA7FB6" w:rsidP="00FA7FB6">
      <w:pPr>
        <w:tabs>
          <w:tab w:val="left" w:pos="9356"/>
        </w:tabs>
        <w:ind w:right="-77" w:firstLine="540"/>
        <w:jc w:val="both"/>
        <w:rPr>
          <w:highlight w:val="yellow"/>
          <w:lang w:val="en-US"/>
        </w:rPr>
      </w:pPr>
    </w:p>
    <w:p w:rsidR="00FB1346" w:rsidRPr="00BA5143" w:rsidRDefault="00FA7FB6" w:rsidP="00FB1346">
      <w:pPr>
        <w:ind w:firstLine="540"/>
        <w:jc w:val="both"/>
        <w:rPr>
          <w:b/>
          <w:lang w:val="en-US"/>
        </w:rPr>
      </w:pPr>
      <w:r w:rsidRPr="00BA5143">
        <w:rPr>
          <w:b/>
          <w:lang w:val="en-US"/>
        </w:rPr>
        <w:t>Note 4. Principles of accounting policy</w:t>
      </w:r>
    </w:p>
    <w:p w:rsidR="00FA7FB6" w:rsidRPr="00BA5143" w:rsidRDefault="00FA7FB6" w:rsidP="00FB1346">
      <w:pPr>
        <w:ind w:firstLine="540"/>
        <w:jc w:val="both"/>
        <w:rPr>
          <w:lang w:val="en-US"/>
        </w:rPr>
      </w:pPr>
    </w:p>
    <w:p w:rsidR="00FA7FB6" w:rsidRPr="00BA5143" w:rsidRDefault="00FA7FB6" w:rsidP="00FA7FB6">
      <w:pPr>
        <w:ind w:firstLine="540"/>
        <w:jc w:val="both"/>
        <w:rPr>
          <w:b/>
          <w:i/>
          <w:lang w:val="en-US"/>
        </w:rPr>
      </w:pPr>
      <w:r w:rsidRPr="00BA5143">
        <w:rPr>
          <w:b/>
          <w:i/>
          <w:lang w:val="en-US"/>
        </w:rPr>
        <w:t>4.1. Consolidated Financial Statements.</w:t>
      </w:r>
    </w:p>
    <w:p w:rsidR="00FA7FB6" w:rsidRPr="00BA5143" w:rsidRDefault="00FA7FB6" w:rsidP="00FA7FB6">
      <w:pPr>
        <w:ind w:firstLine="540"/>
        <w:jc w:val="both"/>
        <w:rPr>
          <w:b/>
          <w:i/>
          <w:lang w:val="en-US"/>
        </w:rPr>
      </w:pPr>
    </w:p>
    <w:p w:rsidR="00494128" w:rsidRPr="00BA5143" w:rsidRDefault="00FA7FB6" w:rsidP="00FA7FB6">
      <w:pPr>
        <w:ind w:firstLine="540"/>
        <w:jc w:val="both"/>
        <w:rPr>
          <w:bCs/>
          <w:iCs/>
          <w:lang w:val="en-US"/>
        </w:rPr>
      </w:pPr>
      <w:r w:rsidRPr="00BA5143">
        <w:rPr>
          <w:bCs/>
          <w:iCs/>
          <w:lang w:val="en-US"/>
        </w:rPr>
        <w:t>Consolidated financial statements are absent due to the absence of a consolidated group - as a separate economic unit that is a set of legal entities, including the main banking institution (the parent bank, taking into account branches, offices in Ukraine and abroad), group members (associate affiliated companies) and special purpose entities.</w:t>
      </w:r>
    </w:p>
    <w:p w:rsidR="00FA7FB6" w:rsidRPr="00BA5143" w:rsidRDefault="00FA7FB6" w:rsidP="00FA7FB6">
      <w:pPr>
        <w:ind w:firstLine="540"/>
        <w:jc w:val="both"/>
        <w:rPr>
          <w:b/>
          <w:i/>
          <w:lang w:val="en-US"/>
        </w:rPr>
      </w:pPr>
    </w:p>
    <w:p w:rsidR="00FA7FB6" w:rsidRPr="00BA5143" w:rsidRDefault="00FA7FB6" w:rsidP="00FA7FB6">
      <w:pPr>
        <w:ind w:firstLine="540"/>
        <w:jc w:val="both"/>
        <w:rPr>
          <w:b/>
          <w:i/>
          <w:lang w:val="en-US"/>
        </w:rPr>
      </w:pPr>
      <w:r w:rsidRPr="00BA5143">
        <w:rPr>
          <w:b/>
          <w:i/>
          <w:lang w:val="en-US"/>
        </w:rPr>
        <w:t xml:space="preserve">4.2. </w:t>
      </w:r>
      <w:r w:rsidR="002E54DE" w:rsidRPr="00BA5143">
        <w:rPr>
          <w:b/>
          <w:i/>
          <w:lang w:val="en-US"/>
        </w:rPr>
        <w:t>Basis</w:t>
      </w:r>
      <w:r w:rsidRPr="00BA5143">
        <w:rPr>
          <w:b/>
          <w:i/>
          <w:lang w:val="en-US"/>
        </w:rPr>
        <w:t xml:space="preserve"> for evaluating the preparation of financial statements</w:t>
      </w:r>
    </w:p>
    <w:p w:rsidR="00FA7FB6" w:rsidRPr="00BA5143" w:rsidRDefault="00FA7FB6" w:rsidP="00FA7FB6">
      <w:pPr>
        <w:ind w:firstLine="540"/>
        <w:jc w:val="both"/>
        <w:rPr>
          <w:b/>
          <w:i/>
          <w:lang w:val="en-US"/>
        </w:rPr>
      </w:pPr>
    </w:p>
    <w:p w:rsidR="00FA7FB6" w:rsidRPr="00BA5143" w:rsidRDefault="00FA7FB6" w:rsidP="00FA7FB6">
      <w:pPr>
        <w:ind w:firstLine="540"/>
        <w:jc w:val="both"/>
        <w:rPr>
          <w:bCs/>
          <w:iCs/>
          <w:lang w:val="en-US"/>
        </w:rPr>
      </w:pPr>
      <w:r w:rsidRPr="00BA5143">
        <w:rPr>
          <w:bCs/>
          <w:iCs/>
          <w:lang w:val="en-US"/>
        </w:rPr>
        <w:t>The accounting policy of the bank is based on the main principles of accounting in accordance with International Financial Reporting Standards and the requirements of the regulatory acts of the National Bank of Ukraine, namely:</w:t>
      </w:r>
    </w:p>
    <w:p w:rsidR="00FA7FB6" w:rsidRPr="00BA5143" w:rsidRDefault="00FA7FB6" w:rsidP="00FA7FB6">
      <w:pPr>
        <w:ind w:firstLine="540"/>
        <w:jc w:val="both"/>
        <w:rPr>
          <w:bCs/>
          <w:iCs/>
          <w:lang w:val="en-US"/>
        </w:rPr>
      </w:pPr>
      <w:r w:rsidRPr="00BA5143">
        <w:rPr>
          <w:bCs/>
          <w:iCs/>
          <w:lang w:val="en-US"/>
        </w:rPr>
        <w:t>full coverage - all banking transactions are subject to registration in the accounts without any exceptions. The financial statements should contain all information about the actual and potential effects of the bank's operations, which may affect the decisions taken under it;</w:t>
      </w:r>
    </w:p>
    <w:p w:rsidR="00FA7FB6" w:rsidRPr="00BA5143" w:rsidRDefault="00FA7FB6" w:rsidP="00FA7FB6">
      <w:pPr>
        <w:ind w:firstLine="540"/>
        <w:jc w:val="both"/>
        <w:rPr>
          <w:bCs/>
          <w:iCs/>
          <w:lang w:val="en-US"/>
        </w:rPr>
      </w:pPr>
      <w:r w:rsidRPr="00BA5143">
        <w:rPr>
          <w:bCs/>
          <w:iCs/>
          <w:lang w:val="en-US"/>
        </w:rPr>
        <w:t>the predominance of the essence over the form - transactions are accounted for and disclosed in the financial statements according to their essence and economic content, and not only in their economic form;</w:t>
      </w:r>
    </w:p>
    <w:p w:rsidR="00FA7FB6" w:rsidRPr="00BA5143" w:rsidRDefault="00FA7FB6" w:rsidP="00FA7FB6">
      <w:pPr>
        <w:ind w:firstLine="540"/>
        <w:jc w:val="both"/>
        <w:rPr>
          <w:bCs/>
          <w:iCs/>
          <w:lang w:val="en-US"/>
        </w:rPr>
      </w:pPr>
      <w:r w:rsidRPr="00BA5143">
        <w:rPr>
          <w:bCs/>
          <w:iCs/>
          <w:lang w:val="en-US"/>
        </w:rPr>
        <w:t xml:space="preserve">autonomy - the assets and liabilities of the Bank should be separated from the assets and liabilities of the owners of the Bank and other banks (enterprises) in connection with this, personal property and liabilities of owners should not be reflected in the financial statements of the Bank. Assets - resources that result from past events, the use of which is expected to lead to future economic benefits. </w:t>
      </w:r>
      <w:r w:rsidR="002E54DE" w:rsidRPr="00BA5143">
        <w:rPr>
          <w:bCs/>
          <w:iCs/>
          <w:lang w:val="en-US"/>
        </w:rPr>
        <w:t>Liabilities - debts arising from past events, the settlement of which in the future is expected to lead to a reduction of resources embodying economic benefits;</w:t>
      </w:r>
    </w:p>
    <w:p w:rsidR="002E54DE" w:rsidRPr="00BA5143" w:rsidRDefault="00201937" w:rsidP="002E54DE">
      <w:pPr>
        <w:ind w:firstLine="540"/>
        <w:jc w:val="both"/>
        <w:rPr>
          <w:lang w:val="en-US"/>
        </w:rPr>
      </w:pPr>
      <w:r w:rsidRPr="00BA5143">
        <w:rPr>
          <w:lang w:val="en-US"/>
        </w:rPr>
        <w:t>accuracy</w:t>
      </w:r>
      <w:r w:rsidR="002E54DE" w:rsidRPr="00BA5143">
        <w:rPr>
          <w:lang w:val="en-US"/>
        </w:rPr>
        <w:t xml:space="preserve"> means the application in accounting of valuation methods that imply that assets and / or income will not be overestimated, liabilities and / or expenses will not be devalued;</w:t>
      </w:r>
    </w:p>
    <w:p w:rsidR="002E54DE" w:rsidRPr="00BA5143" w:rsidRDefault="002E54DE" w:rsidP="002E54DE">
      <w:pPr>
        <w:ind w:firstLine="540"/>
        <w:jc w:val="both"/>
        <w:rPr>
          <w:lang w:val="en-US"/>
        </w:rPr>
      </w:pPr>
      <w:r w:rsidRPr="00BA5143">
        <w:rPr>
          <w:lang w:val="en-US"/>
        </w:rPr>
        <w:t>continuity - an assessment of the Bank's assets with the assumption that its operations will continue in the future. If the Bank plans to reduce its activities, then it is reflected in the financial statements;</w:t>
      </w:r>
    </w:p>
    <w:p w:rsidR="002E54DE" w:rsidRPr="00BA5143" w:rsidRDefault="002E54DE" w:rsidP="002E54DE">
      <w:pPr>
        <w:ind w:firstLine="540"/>
        <w:jc w:val="both"/>
        <w:rPr>
          <w:lang w:val="en-US"/>
        </w:rPr>
      </w:pPr>
      <w:r w:rsidRPr="00BA5143">
        <w:rPr>
          <w:lang w:val="en-US"/>
        </w:rPr>
        <w:t xml:space="preserve">accrual and compliance of income and expenses - to determine the financial result of the reporting period, revenues of the reporting period are compared with the costs incurred to obtain these revenues. Income and expenses are recorded in the accounting and financial statements at the time they arise, regardless of the date of receipt or payment of cash. Revenues are an increase in economic benefits during the accounting period in the form of gain or increase in assets or liabilities, resulting in an increase in capital, with the exception of its increase in shareholder contributions. Expenses are the reduction of economic benefits during the accounting period in the form of retirement or amortization of assets or liabilities, which leads </w:t>
      </w:r>
      <w:r w:rsidRPr="00BA5143">
        <w:rPr>
          <w:lang w:val="en-US"/>
        </w:rPr>
        <w:lastRenderedPageBreak/>
        <w:t>to a decrease in equity and is not a distribution between shareholders. Equity - is the residual part of the bank's assets after deducting all liabilities;</w:t>
      </w:r>
    </w:p>
    <w:p w:rsidR="002E54DE" w:rsidRPr="00BA5143" w:rsidRDefault="002E54DE" w:rsidP="002E54DE">
      <w:pPr>
        <w:ind w:firstLine="540"/>
        <w:jc w:val="both"/>
        <w:rPr>
          <w:lang w:val="en-US"/>
        </w:rPr>
      </w:pPr>
      <w:r w:rsidRPr="00BA5143">
        <w:rPr>
          <w:lang w:val="en-US"/>
        </w:rPr>
        <w:t>consistency - constant (from year to year) application by the bank of the chosen accounting policy. Changes in accounting methods are possible only in cases provided for by international standards and national regulations (accounting standards, and require additional substantiation and disclosure in the financial statements;</w:t>
      </w:r>
    </w:p>
    <w:p w:rsidR="002E54DE" w:rsidRPr="00BA5143" w:rsidRDefault="002E54DE" w:rsidP="002E54DE">
      <w:pPr>
        <w:ind w:firstLine="540"/>
        <w:jc w:val="both"/>
        <w:rPr>
          <w:lang w:val="en-US"/>
        </w:rPr>
      </w:pPr>
      <w:r w:rsidRPr="00BA5143">
        <w:rPr>
          <w:lang w:val="en-US"/>
        </w:rPr>
        <w:t>historical (actual) cost - assets and liabilities are accounted for in the first place at the cost of their acquisition or occurrence. Assets and liabilities in foreign currency, except for non-monetary items, are revalued in the event of a change in the official rate.</w:t>
      </w:r>
    </w:p>
    <w:p w:rsidR="002E54DE" w:rsidRPr="00BA5143" w:rsidRDefault="002E54DE" w:rsidP="002E54DE">
      <w:pPr>
        <w:ind w:firstLine="540"/>
        <w:jc w:val="both"/>
        <w:rPr>
          <w:lang w:val="en-US"/>
        </w:rPr>
      </w:pPr>
      <w:r w:rsidRPr="00BA5143">
        <w:rPr>
          <w:lang w:val="en-US"/>
        </w:rPr>
        <w:t>The Bank conducts and prepares financial statements in the currency of Ukraine - hryvna. Transactions in foreign currencies are reflected in the accounting and financial statements in the currency of Ukraine with the translation of them at the official exchange rate of the National Bank of Ukraine on the date of execution or compilation of accounts. Transactions are recorded in the accounting period in which they were executed, irrespective of the date of movement of funds for them.</w:t>
      </w:r>
    </w:p>
    <w:p w:rsidR="00F6577E" w:rsidRPr="00BA5143" w:rsidRDefault="00F6577E" w:rsidP="00F6577E">
      <w:pPr>
        <w:ind w:firstLine="540"/>
        <w:jc w:val="both"/>
        <w:rPr>
          <w:lang w:val="en-US"/>
        </w:rPr>
      </w:pPr>
      <w:r w:rsidRPr="00BA5143">
        <w:rPr>
          <w:lang w:val="en-US"/>
        </w:rPr>
        <w:t>Assets and liabilities are valued and presented in accounting with sufficient caution in order not to endure existing financial risks that potentially threaten the Bank's financial position for subsequent reporting periods.</w:t>
      </w:r>
    </w:p>
    <w:p w:rsidR="00F6577E" w:rsidRPr="00BA5143" w:rsidRDefault="00F6577E" w:rsidP="00F6577E">
      <w:pPr>
        <w:ind w:firstLine="540"/>
        <w:jc w:val="both"/>
        <w:rPr>
          <w:lang w:val="en-US"/>
        </w:rPr>
      </w:pPr>
      <w:r w:rsidRPr="00BA5143">
        <w:rPr>
          <w:lang w:val="en-US"/>
        </w:rPr>
        <w:t>For accounting and financial reporting, assets and liabilities of the Bank are accrued and accounted for:</w:t>
      </w:r>
    </w:p>
    <w:p w:rsidR="00F6577E" w:rsidRPr="00BA5143" w:rsidRDefault="00F6577E" w:rsidP="00F6577E">
      <w:pPr>
        <w:ind w:firstLine="540"/>
        <w:jc w:val="both"/>
        <w:rPr>
          <w:lang w:val="en-US"/>
        </w:rPr>
      </w:pPr>
      <w:r w:rsidRPr="00BA5143">
        <w:rPr>
          <w:lang w:val="en-US"/>
        </w:rPr>
        <w:t>the value of their acquisition or occurrence - at historical or initial value: assets - by the amount of money paid to them, their equivalents or other forms of compensation; an obligation - on the amount of funds mobilized or their equivalents to be paid to repay liabilities in the course of the Bank's ordinary activities;</w:t>
      </w:r>
    </w:p>
    <w:p w:rsidR="00F6577E" w:rsidRPr="00BA5143" w:rsidRDefault="00F6577E" w:rsidP="00F6577E">
      <w:pPr>
        <w:ind w:firstLine="540"/>
        <w:jc w:val="both"/>
        <w:rPr>
          <w:lang w:val="en-US"/>
        </w:rPr>
      </w:pPr>
      <w:r w:rsidRPr="00BA5143">
        <w:rPr>
          <w:lang w:val="en-US"/>
        </w:rPr>
        <w:t>fair value - the price that would have been received for the sale of an asset or paid for the transfer of a liability in the ordinary course of business between market participants at the date of the transaction; the fair value adjustment of assets is carried out through revaluation, valuation for impairment and available credit risk;</w:t>
      </w:r>
    </w:p>
    <w:p w:rsidR="00F6577E" w:rsidRPr="00BA5143" w:rsidRDefault="00F6577E" w:rsidP="00F6577E">
      <w:pPr>
        <w:ind w:firstLine="540"/>
        <w:jc w:val="both"/>
        <w:rPr>
          <w:lang w:val="en-US"/>
        </w:rPr>
      </w:pPr>
      <w:r w:rsidRPr="00BA5143">
        <w:rPr>
          <w:lang w:val="en-US"/>
        </w:rPr>
        <w:t>amortized cost - the value at which the financial asset, financial liability is measured, and which consists of the acquisition cost reduced by the amount of principal repayment of the debt increased (reduced) by the amount of accumulated depreciation of any difference between the original cost and the repayment value calculated using an effective interest rate reduced by the amount of partial write-down due to impairment.</w:t>
      </w:r>
    </w:p>
    <w:p w:rsidR="00F6577E" w:rsidRPr="00BA5143" w:rsidRDefault="00F6577E" w:rsidP="00F6577E">
      <w:pPr>
        <w:ind w:firstLine="540"/>
        <w:jc w:val="both"/>
        <w:rPr>
          <w:lang w:val="en-US"/>
        </w:rPr>
      </w:pPr>
      <w:r w:rsidRPr="00BA5143">
        <w:rPr>
          <w:lang w:val="en-US"/>
        </w:rPr>
        <w:t>The value of assets varies as a result of fluctuations in market prices, foreign exchange rates, physical and moral depreciation, and other objective factors. Revaluation of separate asset items is carried out to their fair (market) value in accordance with the procedure established by the current legislation and internal documents of the Bank.</w:t>
      </w:r>
    </w:p>
    <w:p w:rsidR="00F6577E" w:rsidRPr="00BA5143" w:rsidRDefault="00F6577E" w:rsidP="00F6577E">
      <w:pPr>
        <w:ind w:firstLine="540"/>
        <w:jc w:val="both"/>
        <w:rPr>
          <w:lang w:val="en-US"/>
        </w:rPr>
      </w:pPr>
      <w:r w:rsidRPr="00BA5143">
        <w:rPr>
          <w:lang w:val="en-US"/>
        </w:rPr>
        <w:t xml:space="preserve">The criteria for recognition and subsequent measurement applicable to each category of assets and liabilities and items of income and expense are set out in paragraphs 4.6 to 4.29 </w:t>
      </w:r>
      <w:r w:rsidR="00201937" w:rsidRPr="00BA5143">
        <w:rPr>
          <w:lang w:val="en-US"/>
        </w:rPr>
        <w:t>of Note</w:t>
      </w:r>
      <w:r w:rsidRPr="00BA5143">
        <w:rPr>
          <w:lang w:val="en-US"/>
        </w:rPr>
        <w:t xml:space="preserve"> 4, "Accounting Principles".</w:t>
      </w:r>
    </w:p>
    <w:p w:rsidR="00D25FF5" w:rsidRPr="00BA5143" w:rsidRDefault="00F6577E" w:rsidP="00F6577E">
      <w:pPr>
        <w:ind w:firstLine="540"/>
        <w:jc w:val="both"/>
        <w:rPr>
          <w:lang w:val="en-US"/>
        </w:rPr>
      </w:pPr>
      <w:r w:rsidRPr="00BA5143">
        <w:rPr>
          <w:lang w:val="en-US"/>
        </w:rPr>
        <w:t>The bank does not have reporting articles for which the accounting policy was not applied in accordance with international financial reporting standards. All assets and liabilities are evaluated separately and displayed in expanded form.</w:t>
      </w:r>
    </w:p>
    <w:p w:rsidR="00F6577E" w:rsidRPr="00BA5143" w:rsidRDefault="00F6577E" w:rsidP="00F6577E">
      <w:pPr>
        <w:ind w:firstLine="540"/>
        <w:jc w:val="both"/>
        <w:rPr>
          <w:highlight w:val="yellow"/>
          <w:lang w:val="en-US"/>
        </w:rPr>
      </w:pPr>
    </w:p>
    <w:p w:rsidR="002658C3" w:rsidRPr="00BA5143" w:rsidRDefault="002658C3" w:rsidP="0058559C">
      <w:pPr>
        <w:ind w:firstLine="540"/>
        <w:jc w:val="both"/>
        <w:rPr>
          <w:b/>
          <w:i/>
          <w:lang w:val="en-US"/>
        </w:rPr>
      </w:pPr>
      <w:r w:rsidRPr="00BA5143">
        <w:rPr>
          <w:b/>
          <w:i/>
          <w:lang w:val="en-US"/>
        </w:rPr>
        <w:t>4</w:t>
      </w:r>
      <w:r w:rsidR="0058559C" w:rsidRPr="00BA5143">
        <w:rPr>
          <w:b/>
          <w:i/>
          <w:lang w:val="en-US"/>
        </w:rPr>
        <w:t>.3.</w:t>
      </w:r>
      <w:r w:rsidRPr="00BA5143">
        <w:rPr>
          <w:b/>
          <w:i/>
          <w:lang w:val="en-US"/>
        </w:rPr>
        <w:t xml:space="preserve"> </w:t>
      </w:r>
      <w:r w:rsidR="00FA2714" w:rsidRPr="00BA5143">
        <w:rPr>
          <w:b/>
          <w:i/>
          <w:lang w:val="en-US"/>
        </w:rPr>
        <w:t>Financial instruments</w:t>
      </w:r>
    </w:p>
    <w:p w:rsidR="00A576D8" w:rsidRPr="00BA5143" w:rsidRDefault="00A576D8" w:rsidP="002658C3">
      <w:pPr>
        <w:jc w:val="both"/>
        <w:rPr>
          <w:highlight w:val="yellow"/>
          <w:lang w:val="en-US"/>
        </w:rPr>
      </w:pPr>
    </w:p>
    <w:p w:rsidR="00FA2714" w:rsidRPr="00BA5143" w:rsidRDefault="00FA2714" w:rsidP="00FA2714">
      <w:pPr>
        <w:ind w:firstLine="540"/>
        <w:jc w:val="both"/>
        <w:rPr>
          <w:lang w:val="en-US"/>
        </w:rPr>
      </w:pPr>
      <w:r w:rsidRPr="00BA5143">
        <w:rPr>
          <w:lang w:val="en-US"/>
        </w:rPr>
        <w:t>The Bank classifies and evaluates financial assets based on the business model it uses to manage these assets and the characteristics of the cash flows provided for in the contract / terms of issue.</w:t>
      </w:r>
    </w:p>
    <w:p w:rsidR="00FA2714" w:rsidRPr="00BA5143" w:rsidRDefault="00FA2714" w:rsidP="00FA2714">
      <w:pPr>
        <w:ind w:firstLine="540"/>
        <w:jc w:val="both"/>
        <w:rPr>
          <w:lang w:val="en-US"/>
        </w:rPr>
      </w:pPr>
      <w:r w:rsidRPr="00BA5143">
        <w:rPr>
          <w:lang w:val="en-US"/>
        </w:rPr>
        <w:t>The business model reflects the management of the groups of financial assets to achieve a certain goal and is determined by the Bank in accordance with strategic development plans.</w:t>
      </w:r>
    </w:p>
    <w:p w:rsidR="00FA2714" w:rsidRPr="00BA5143" w:rsidRDefault="00FA2714" w:rsidP="00FA2714">
      <w:pPr>
        <w:ind w:firstLine="540"/>
        <w:jc w:val="both"/>
        <w:rPr>
          <w:lang w:val="en-US"/>
        </w:rPr>
      </w:pPr>
      <w:r w:rsidRPr="00BA5143">
        <w:rPr>
          <w:lang w:val="en-US"/>
        </w:rPr>
        <w:lastRenderedPageBreak/>
        <w:t>The business model determines whether there will be cash flows from contractual cash flows or from the sale of financial assets, or will come from both of these sources. If the sale of cash flows occurs in a manner different from the expectations of the date of the business model assessment (for example, if the Bank sold more or less financial assets than expected during the implementation of the classification), this does not entail the occurrence of errors in previous financial statements periods and does not change the classification of the balance of financial assets held by the specified business model. At the same time, for newly-created or newly acquired financial assets, the Bank considers all relevant information together with information on how cash flows have been realized in the past.</w:t>
      </w:r>
    </w:p>
    <w:p w:rsidR="00FA2714" w:rsidRPr="00BA5143" w:rsidRDefault="00FA2714" w:rsidP="00FA2714">
      <w:pPr>
        <w:ind w:firstLine="540"/>
        <w:jc w:val="both"/>
        <w:rPr>
          <w:bCs/>
          <w:lang w:val="en-US"/>
        </w:rPr>
      </w:pPr>
      <w:r w:rsidRPr="00BA5143">
        <w:rPr>
          <w:bCs/>
          <w:lang w:val="en-US"/>
        </w:rPr>
        <w:t xml:space="preserve">In assessing the business model of the Bank applies judgment, and this assessment is made based on the following </w:t>
      </w:r>
      <w:r w:rsidR="00201937" w:rsidRPr="00BA5143">
        <w:rPr>
          <w:bCs/>
          <w:lang w:val="en-US"/>
        </w:rPr>
        <w:t>factors:</w:t>
      </w:r>
    </w:p>
    <w:p w:rsidR="00FA2714" w:rsidRPr="00BA5143" w:rsidRDefault="00FA2714" w:rsidP="00FA2714">
      <w:pPr>
        <w:ind w:firstLine="540"/>
        <w:jc w:val="both"/>
        <w:rPr>
          <w:bCs/>
          <w:lang w:val="en-US"/>
        </w:rPr>
      </w:pPr>
      <w:r w:rsidRPr="00BA5143">
        <w:rPr>
          <w:bCs/>
          <w:lang w:val="en-US"/>
        </w:rPr>
        <w:t>- intentions and goals of retention;</w:t>
      </w:r>
    </w:p>
    <w:p w:rsidR="00FA2714" w:rsidRPr="00BA5143" w:rsidRDefault="00FA2714" w:rsidP="00FA2714">
      <w:pPr>
        <w:ind w:firstLine="540"/>
        <w:jc w:val="both"/>
        <w:rPr>
          <w:bCs/>
          <w:lang w:val="en-US"/>
        </w:rPr>
      </w:pPr>
      <w:r w:rsidRPr="00BA5143">
        <w:rPr>
          <w:bCs/>
          <w:lang w:val="en-US"/>
        </w:rPr>
        <w:t>- plans, forecasts, strategies for management methods;</w:t>
      </w:r>
    </w:p>
    <w:p w:rsidR="00FA2714" w:rsidRPr="00BA5143" w:rsidRDefault="00FA2714" w:rsidP="00FA2714">
      <w:pPr>
        <w:ind w:firstLine="540"/>
        <w:jc w:val="both"/>
        <w:rPr>
          <w:bCs/>
          <w:lang w:val="en-US"/>
        </w:rPr>
      </w:pPr>
      <w:r w:rsidRPr="00BA5143">
        <w:rPr>
          <w:bCs/>
          <w:lang w:val="en-US"/>
        </w:rPr>
        <w:t>- reporting indicators for key management personnel;</w:t>
      </w:r>
    </w:p>
    <w:p w:rsidR="00FA2714" w:rsidRPr="00BA5143" w:rsidRDefault="00FA2714" w:rsidP="00FA2714">
      <w:pPr>
        <w:ind w:firstLine="540"/>
        <w:jc w:val="both"/>
        <w:rPr>
          <w:bCs/>
          <w:lang w:val="en-US"/>
        </w:rPr>
      </w:pPr>
      <w:r w:rsidRPr="00BA5143">
        <w:rPr>
          <w:bCs/>
          <w:lang w:val="en-US"/>
        </w:rPr>
        <w:t>- a list of inherent risks;</w:t>
      </w:r>
    </w:p>
    <w:p w:rsidR="00FA2714" w:rsidRPr="00BA5143" w:rsidRDefault="00FA2714" w:rsidP="00FA2714">
      <w:pPr>
        <w:ind w:firstLine="540"/>
        <w:jc w:val="both"/>
        <w:rPr>
          <w:bCs/>
          <w:lang w:val="en-US"/>
        </w:rPr>
      </w:pPr>
      <w:r w:rsidRPr="00BA5143">
        <w:rPr>
          <w:bCs/>
          <w:lang w:val="en-US"/>
        </w:rPr>
        <w:t>- sales - frequency, volumes, maturities, causes, expectations, forecasts, plans for future sales.</w:t>
      </w:r>
    </w:p>
    <w:p w:rsidR="00FA2714" w:rsidRPr="00BA5143" w:rsidRDefault="00FA2714" w:rsidP="00FA2714">
      <w:pPr>
        <w:ind w:firstLine="540"/>
        <w:jc w:val="both"/>
        <w:rPr>
          <w:bCs/>
          <w:lang w:val="en-US"/>
        </w:rPr>
      </w:pPr>
      <w:r w:rsidRPr="00BA5143">
        <w:rPr>
          <w:bCs/>
          <w:lang w:val="en-US"/>
        </w:rPr>
        <w:t>The Bank uses the following types of business models of financial asset management:</w:t>
      </w:r>
    </w:p>
    <w:p w:rsidR="00FA2714" w:rsidRPr="00BA5143" w:rsidRDefault="00FA2714" w:rsidP="00FA2714">
      <w:pPr>
        <w:ind w:firstLine="540"/>
        <w:jc w:val="both"/>
        <w:rPr>
          <w:bCs/>
          <w:lang w:val="en-US"/>
        </w:rPr>
      </w:pPr>
      <w:r w:rsidRPr="00BA5143">
        <w:rPr>
          <w:bCs/>
          <w:lang w:val="en-US"/>
        </w:rPr>
        <w:t>- a business model whose purpose is to hold assets for contractual cash flows;</w:t>
      </w:r>
    </w:p>
    <w:p w:rsidR="00FA2714" w:rsidRPr="00BA5143" w:rsidRDefault="00FA2714" w:rsidP="00FA2714">
      <w:pPr>
        <w:ind w:firstLine="540"/>
        <w:jc w:val="both"/>
        <w:rPr>
          <w:bCs/>
          <w:lang w:val="en-US"/>
        </w:rPr>
      </w:pPr>
      <w:r w:rsidRPr="00BA5143">
        <w:rPr>
          <w:bCs/>
          <w:lang w:val="en-US"/>
        </w:rPr>
        <w:t>- a business model, the goal of which is achieved both by obtaining contractual cash flows and through the sale of financial assets;</w:t>
      </w:r>
    </w:p>
    <w:p w:rsidR="00FA2714" w:rsidRPr="00BA5143" w:rsidRDefault="00FA2714" w:rsidP="00FA2714">
      <w:pPr>
        <w:ind w:firstLine="540"/>
        <w:jc w:val="both"/>
        <w:rPr>
          <w:bCs/>
          <w:lang w:val="en-US"/>
        </w:rPr>
      </w:pPr>
      <w:r w:rsidRPr="00BA5143">
        <w:rPr>
          <w:bCs/>
          <w:lang w:val="en-US"/>
        </w:rPr>
        <w:t>- others.</w:t>
      </w:r>
    </w:p>
    <w:p w:rsidR="00FA2714" w:rsidRPr="00BA5143" w:rsidRDefault="00FA2714" w:rsidP="00FA2714">
      <w:pPr>
        <w:ind w:firstLine="540"/>
        <w:jc w:val="both"/>
        <w:rPr>
          <w:lang w:val="en-US"/>
        </w:rPr>
      </w:pPr>
      <w:r w:rsidRPr="00BA5143">
        <w:rPr>
          <w:lang w:val="en-US"/>
        </w:rPr>
        <w:t>Each model may include several different asset management goals. One and the same asset type may be included in different portfolios that identify different business models if these portfolios have different management objectives (retention).</w:t>
      </w:r>
    </w:p>
    <w:p w:rsidR="00FA2714" w:rsidRPr="00BA5143" w:rsidRDefault="00FA2714" w:rsidP="00FA2714">
      <w:pPr>
        <w:ind w:firstLine="540"/>
        <w:jc w:val="both"/>
        <w:rPr>
          <w:lang w:val="en-US"/>
        </w:rPr>
      </w:pPr>
      <w:r w:rsidRPr="00BA5143">
        <w:rPr>
          <w:lang w:val="en-US"/>
        </w:rPr>
        <w:t>The Bank defines business models aggregated into groups: asset portfolios and sub-portfolios within portfolio portfolios.</w:t>
      </w:r>
    </w:p>
    <w:p w:rsidR="00FA2714" w:rsidRPr="00BA5143" w:rsidRDefault="00FA2714" w:rsidP="00FA2714">
      <w:pPr>
        <w:ind w:firstLine="540"/>
        <w:jc w:val="both"/>
        <w:rPr>
          <w:lang w:val="en-US"/>
        </w:rPr>
      </w:pPr>
      <w:r w:rsidRPr="00BA5143">
        <w:rPr>
          <w:lang w:val="en-US"/>
        </w:rPr>
        <w:t>Definition of a business model for portfolios of financial assets in the form of investments in deposit certificates issued by the NBU and Bonds of an internal state loan (interest and discounted) is carried out on the basis of the conducted testing.</w:t>
      </w:r>
    </w:p>
    <w:p w:rsidR="00FA2714" w:rsidRPr="00BA5143" w:rsidRDefault="00FA2714" w:rsidP="00FA2714">
      <w:pPr>
        <w:ind w:firstLine="540"/>
        <w:jc w:val="both"/>
        <w:rPr>
          <w:lang w:val="en-US"/>
        </w:rPr>
      </w:pPr>
      <w:r w:rsidRPr="00BA5143">
        <w:rPr>
          <w:lang w:val="en-US"/>
        </w:rPr>
        <w:t>For all other non-derivative financial assets available to the Bank (IFRS 9 short-term financial receivables, cash flows, NOSTRO accounts), the Bank applies a business model whose purpose is to obtain contractual cash flows without testing, taking into account that that such sales of assets are not planned. If in the future the Bank will plan the sale of any of the above assets, then, in the event of such a decision, the Bank will conduct additional testing to determine the business model.</w:t>
      </w:r>
    </w:p>
    <w:p w:rsidR="00A467AF" w:rsidRPr="00BA5143" w:rsidRDefault="00A467AF" w:rsidP="00A467AF">
      <w:pPr>
        <w:ind w:firstLine="540"/>
        <w:jc w:val="both"/>
        <w:rPr>
          <w:lang w:val="en-US"/>
        </w:rPr>
      </w:pPr>
      <w:r w:rsidRPr="00BA5143">
        <w:rPr>
          <w:lang w:val="en-US"/>
        </w:rPr>
        <w:t>In the case of long-term financial receivables and long-term receivables for business operations of the Bank (in the case of sale of assets of the Bank), it is accounted for as a loan granted and, accordingly, it is tested for determining the business model.</w:t>
      </w:r>
    </w:p>
    <w:p w:rsidR="00A467AF" w:rsidRPr="00BA5143" w:rsidRDefault="00A467AF" w:rsidP="00A467AF">
      <w:pPr>
        <w:ind w:firstLine="540"/>
        <w:jc w:val="both"/>
        <w:rPr>
          <w:lang w:val="en-US"/>
        </w:rPr>
      </w:pPr>
      <w:r w:rsidRPr="00BA5143">
        <w:rPr>
          <w:lang w:val="en-US"/>
        </w:rPr>
        <w:t>The Bank does not determine the business model for derivatives that are measured at fair value with the recognition of revaluation gains / losses.</w:t>
      </w:r>
    </w:p>
    <w:p w:rsidR="00A467AF" w:rsidRPr="00BA5143" w:rsidRDefault="00A467AF" w:rsidP="00A467AF">
      <w:pPr>
        <w:ind w:firstLine="540"/>
        <w:jc w:val="both"/>
        <w:rPr>
          <w:lang w:val="en-US"/>
        </w:rPr>
      </w:pPr>
      <w:r w:rsidRPr="00BA5143">
        <w:rPr>
          <w:lang w:val="en-US"/>
        </w:rPr>
        <w:t>In assessing the method of managing financial assets, scenarios that are not reasonably expected to be expected by the Bank, such as the "worst" scenario or "stress" scenario, are not taken into account.</w:t>
      </w:r>
    </w:p>
    <w:p w:rsidR="00A467AF" w:rsidRPr="00BA5143" w:rsidRDefault="00A467AF" w:rsidP="00A467AF">
      <w:pPr>
        <w:ind w:firstLine="540"/>
        <w:jc w:val="both"/>
        <w:rPr>
          <w:i/>
          <w:lang w:val="en-US"/>
        </w:rPr>
      </w:pPr>
      <w:r w:rsidRPr="00BA5143">
        <w:rPr>
          <w:i/>
          <w:lang w:val="en-US"/>
        </w:rPr>
        <w:t>Business Model I, whose purpose is to hold assets for contractual cash flows</w:t>
      </w:r>
    </w:p>
    <w:p w:rsidR="00A467AF" w:rsidRPr="00BA5143" w:rsidRDefault="00A467AF" w:rsidP="00A467AF">
      <w:pPr>
        <w:ind w:firstLine="540"/>
        <w:jc w:val="both"/>
        <w:rPr>
          <w:iCs/>
          <w:lang w:val="en-US"/>
        </w:rPr>
      </w:pPr>
      <w:r w:rsidRPr="00BA5143">
        <w:rPr>
          <w:iCs/>
          <w:lang w:val="en-US"/>
        </w:rPr>
        <w:t> The management of financial assets held for a business model whose purpose is to hold assets to obtain contractual cash flows is carried out for the implementation of cash flows by obtaining contractual payments during the term of the instrument.</w:t>
      </w:r>
    </w:p>
    <w:p w:rsidR="00A467AF" w:rsidRPr="00BA5143" w:rsidRDefault="00A467AF" w:rsidP="00A467AF">
      <w:pPr>
        <w:ind w:firstLine="540"/>
        <w:jc w:val="both"/>
        <w:rPr>
          <w:iCs/>
          <w:lang w:val="en-US"/>
        </w:rPr>
      </w:pPr>
      <w:r w:rsidRPr="00BA5143">
        <w:rPr>
          <w:iCs/>
          <w:lang w:val="en-US"/>
        </w:rPr>
        <w:t xml:space="preserve">When analyzing whether cash flows will be realized by obtaining contractual cash flows for financial assets, information will be taken into account on the availability and nature of sales of such assets in prior periods. Thus, the frequency of such sales, the value and terms of </w:t>
      </w:r>
      <w:r w:rsidRPr="00BA5143">
        <w:rPr>
          <w:iCs/>
          <w:lang w:val="en-US"/>
        </w:rPr>
        <w:lastRenderedPageBreak/>
        <w:t>operations, the reasons for such operations, as well as the expectation of future sales activities are taken into account.</w:t>
      </w:r>
    </w:p>
    <w:p w:rsidR="00A467AF" w:rsidRPr="00BA5143" w:rsidRDefault="00A467AF" w:rsidP="00A467AF">
      <w:pPr>
        <w:ind w:firstLine="540"/>
        <w:jc w:val="both"/>
        <w:rPr>
          <w:iCs/>
          <w:lang w:val="en-US"/>
        </w:rPr>
      </w:pPr>
      <w:r w:rsidRPr="00BA5143">
        <w:rPr>
          <w:iCs/>
          <w:lang w:val="en-US"/>
        </w:rPr>
        <w:t>The Bank continues to apply a business model whose purpose is to hold assets for contractual flows to the financial assets for which sales took place before the date of maturity for the following reasons:</w:t>
      </w:r>
    </w:p>
    <w:p w:rsidR="0040484F" w:rsidRPr="00BA5143" w:rsidRDefault="0040484F" w:rsidP="0040484F">
      <w:pPr>
        <w:pStyle w:val="a6"/>
        <w:ind w:firstLine="540"/>
        <w:jc w:val="both"/>
        <w:rPr>
          <w:lang w:val="en-US"/>
        </w:rPr>
      </w:pPr>
      <w:r w:rsidRPr="00BA5143">
        <w:rPr>
          <w:lang w:val="en-US"/>
        </w:rPr>
        <w:t>Sale of financial assets in case of growth of credit risk. Regardless of the frequency and size of sales transactions, the holding of such assets is not contrary to a business model whose purpose is to hold assets for contractual flows, since the credit quality of financial assets is related to the ability to obtain contractual cash flows, and credit risk management activities are non-derivative The most powerful part of such a business model.</w:t>
      </w:r>
    </w:p>
    <w:p w:rsidR="0040484F" w:rsidRPr="00BA5143" w:rsidRDefault="0040484F" w:rsidP="0040484F">
      <w:pPr>
        <w:pStyle w:val="a6"/>
        <w:ind w:firstLine="540"/>
        <w:jc w:val="both"/>
        <w:rPr>
          <w:lang w:val="en-US"/>
        </w:rPr>
      </w:pPr>
      <w:r w:rsidRPr="00BA5143">
        <w:rPr>
          <w:lang w:val="en-US"/>
        </w:rPr>
        <w:t>Sale of financial assets made to manage the risk of concentration of loans (without an increase in credit risk on assets), if such transactions are not performed frequently (even if they are significant in size) or are insignificant on an individual or aggregate basis (even if they are carried out frequently).</w:t>
      </w:r>
    </w:p>
    <w:p w:rsidR="0040484F" w:rsidRPr="00BA5143" w:rsidRDefault="0040484F" w:rsidP="0040484F">
      <w:pPr>
        <w:pStyle w:val="a6"/>
        <w:ind w:firstLine="540"/>
        <w:jc w:val="both"/>
        <w:rPr>
          <w:lang w:val="en-US"/>
        </w:rPr>
      </w:pPr>
      <w:r w:rsidRPr="00BA5143">
        <w:rPr>
          <w:lang w:val="en-US"/>
        </w:rPr>
        <w:t>In addition, sales transactions may be considered appropriate for the purpose of obtaining cash flows if transactions are carried out when the maturity of financial assets is matched and the amount of cash received from these operations is approximately equal to the revenue from the residual contractual flows.</w:t>
      </w:r>
    </w:p>
    <w:p w:rsidR="0040484F" w:rsidRPr="00BA5143" w:rsidRDefault="0040484F" w:rsidP="0040484F">
      <w:pPr>
        <w:pStyle w:val="a6"/>
        <w:ind w:firstLine="540"/>
        <w:jc w:val="both"/>
        <w:rPr>
          <w:lang w:val="en-US"/>
        </w:rPr>
      </w:pPr>
      <w:r w:rsidRPr="00BA5143">
        <w:rPr>
          <w:lang w:val="en-US"/>
        </w:rPr>
        <w:t>Depending on which contractual cash flows according to the SPPI test are expected to be received, financial assets attributed to the management model whose purpose is to obtain contractual cash flows are estimated at:</w:t>
      </w:r>
    </w:p>
    <w:p w:rsidR="0040484F" w:rsidRPr="00BA5143" w:rsidRDefault="0040484F" w:rsidP="0040484F">
      <w:pPr>
        <w:pStyle w:val="a6"/>
        <w:ind w:firstLine="540"/>
        <w:jc w:val="both"/>
        <w:rPr>
          <w:lang w:val="en-US"/>
        </w:rPr>
      </w:pPr>
      <w:r w:rsidRPr="00BA5143">
        <w:rPr>
          <w:lang w:val="en-US"/>
        </w:rPr>
        <w:t xml:space="preserve">- </w:t>
      </w:r>
      <w:r w:rsidRPr="00BA5143">
        <w:rPr>
          <w:u w:val="single"/>
          <w:lang w:val="en-US"/>
        </w:rPr>
        <w:t>amortized cost</w:t>
      </w:r>
      <w:r w:rsidRPr="00BA5143">
        <w:rPr>
          <w:lang w:val="en-US"/>
        </w:rPr>
        <w:t xml:space="preserve"> - in case if only contractual flows are the principal amount and interest;</w:t>
      </w:r>
    </w:p>
    <w:p w:rsidR="0040484F" w:rsidRPr="00BA5143" w:rsidRDefault="0040484F" w:rsidP="0040484F">
      <w:pPr>
        <w:pStyle w:val="a6"/>
        <w:spacing w:after="0"/>
        <w:ind w:firstLine="540"/>
        <w:jc w:val="both"/>
        <w:rPr>
          <w:lang w:val="en-US"/>
        </w:rPr>
      </w:pPr>
      <w:r w:rsidRPr="00BA5143">
        <w:rPr>
          <w:lang w:val="en-US"/>
        </w:rPr>
        <w:t xml:space="preserve">- </w:t>
      </w:r>
      <w:r w:rsidRPr="00BA5143">
        <w:rPr>
          <w:u w:val="single"/>
          <w:lang w:val="en-US"/>
        </w:rPr>
        <w:t>at fair value through profit or loss</w:t>
      </w:r>
      <w:r w:rsidRPr="00BA5143">
        <w:rPr>
          <w:lang w:val="en-US"/>
        </w:rPr>
        <w:t xml:space="preserve"> - in the event that contractual flows include any other payments other than principal and interest.</w:t>
      </w:r>
    </w:p>
    <w:p w:rsidR="0040484F" w:rsidRPr="00BA5143" w:rsidRDefault="0040484F" w:rsidP="0040484F">
      <w:pPr>
        <w:pStyle w:val="a6"/>
        <w:ind w:firstLine="539"/>
        <w:rPr>
          <w:bCs/>
          <w:i/>
          <w:lang w:val="en-US"/>
        </w:rPr>
      </w:pPr>
      <w:r w:rsidRPr="00BA5143">
        <w:rPr>
          <w:bCs/>
          <w:i/>
          <w:lang w:val="en-US"/>
        </w:rPr>
        <w:t>Business model II type (mixed), the goal of which is achieved both by obtaining contractual cash flows and the sale of financial assets</w:t>
      </w:r>
    </w:p>
    <w:p w:rsidR="0040484F" w:rsidRPr="00BA5143" w:rsidRDefault="0040484F" w:rsidP="0040484F">
      <w:pPr>
        <w:pStyle w:val="a6"/>
        <w:ind w:firstLine="539"/>
        <w:rPr>
          <w:bCs/>
          <w:iCs/>
          <w:lang w:val="en-US"/>
        </w:rPr>
      </w:pPr>
      <w:r w:rsidRPr="00BA5143">
        <w:rPr>
          <w:bCs/>
          <w:iCs/>
          <w:lang w:val="en-US"/>
        </w:rPr>
        <w:t>An integral part of reaching the goal of a business model is both obtaining contractual cash flows and the sale of financial assets, with cash flows expected to be predominantly from sales, and sales transactions are an integral part of achieving a business goal.</w:t>
      </w:r>
    </w:p>
    <w:p w:rsidR="0040484F" w:rsidRPr="00BA5143" w:rsidRDefault="0040484F" w:rsidP="0040484F">
      <w:pPr>
        <w:pStyle w:val="a6"/>
        <w:ind w:firstLine="539"/>
        <w:rPr>
          <w:bCs/>
          <w:iCs/>
          <w:lang w:val="en-US"/>
        </w:rPr>
      </w:pPr>
      <w:r w:rsidRPr="00BA5143">
        <w:rPr>
          <w:bCs/>
          <w:iCs/>
          <w:lang w:val="en-US"/>
        </w:rPr>
        <w:t>This business model can include financial assets held to manage daily liquidity needs, maintaining a certain profit profile, matching maturities between assets and liabilities, and others.</w:t>
      </w:r>
    </w:p>
    <w:p w:rsidR="0040484F" w:rsidRPr="00BA5143" w:rsidRDefault="0040484F" w:rsidP="0040484F">
      <w:pPr>
        <w:pStyle w:val="a6"/>
        <w:spacing w:after="0"/>
        <w:ind w:firstLine="539"/>
        <w:rPr>
          <w:bCs/>
          <w:iCs/>
          <w:lang w:val="en-US"/>
        </w:rPr>
      </w:pPr>
      <w:r w:rsidRPr="00BA5143">
        <w:rPr>
          <w:bCs/>
          <w:iCs/>
          <w:lang w:val="en-US"/>
        </w:rPr>
        <w:t>Financial assets held under this business model are measured at fair value through revaluation due to other comprehensive income.</w:t>
      </w:r>
    </w:p>
    <w:p w:rsidR="0040484F" w:rsidRPr="00BA5143" w:rsidRDefault="0040484F" w:rsidP="0040484F">
      <w:pPr>
        <w:ind w:firstLine="540"/>
        <w:jc w:val="both"/>
        <w:rPr>
          <w:bCs/>
          <w:i/>
          <w:lang w:val="en-US"/>
        </w:rPr>
      </w:pPr>
      <w:r w:rsidRPr="00BA5143">
        <w:rPr>
          <w:bCs/>
          <w:i/>
          <w:lang w:val="en-US"/>
        </w:rPr>
        <w:t>Other business models</w:t>
      </w:r>
    </w:p>
    <w:p w:rsidR="0040484F" w:rsidRPr="00BA5143" w:rsidRDefault="0040484F" w:rsidP="0040484F">
      <w:pPr>
        <w:ind w:firstLine="540"/>
        <w:jc w:val="both"/>
        <w:rPr>
          <w:bCs/>
          <w:iCs/>
          <w:lang w:val="en-US"/>
        </w:rPr>
      </w:pPr>
      <w:r w:rsidRPr="00BA5143">
        <w:rPr>
          <w:bCs/>
          <w:iCs/>
          <w:lang w:val="en-US"/>
        </w:rPr>
        <w:t>Within other business models are financial assets, the purpose of which is the maintenance of the cash flows solely from the sale of such assets.</w:t>
      </w:r>
    </w:p>
    <w:p w:rsidR="0040484F" w:rsidRPr="00BA5143" w:rsidRDefault="0040484F" w:rsidP="0040484F">
      <w:pPr>
        <w:ind w:firstLine="540"/>
        <w:jc w:val="both"/>
        <w:rPr>
          <w:bCs/>
          <w:iCs/>
          <w:lang w:val="en-US"/>
        </w:rPr>
      </w:pPr>
      <w:r w:rsidRPr="00BA5143">
        <w:rPr>
          <w:bCs/>
          <w:iCs/>
          <w:lang w:val="en-US"/>
        </w:rPr>
        <w:t>Financial assets held under such a business model are measured at fair value through profit or loss.</w:t>
      </w:r>
    </w:p>
    <w:p w:rsidR="0040484F" w:rsidRPr="00BA5143" w:rsidRDefault="0040484F" w:rsidP="0040484F">
      <w:pPr>
        <w:ind w:firstLine="540"/>
        <w:jc w:val="both"/>
        <w:rPr>
          <w:bCs/>
          <w:iCs/>
          <w:lang w:val="en-US"/>
        </w:rPr>
      </w:pPr>
      <w:r w:rsidRPr="00BA5143">
        <w:rPr>
          <w:bCs/>
          <w:iCs/>
          <w:lang w:val="en-US"/>
        </w:rPr>
        <w:t>The Bank adopts a decision to hold relevant financial assets based on fair value and manage them for the purpose of realizing this fair value, which is related to active sale and purchase.</w:t>
      </w:r>
    </w:p>
    <w:p w:rsidR="0040484F" w:rsidRPr="00BA5143" w:rsidRDefault="0040484F" w:rsidP="00C13E4C">
      <w:pPr>
        <w:ind w:firstLine="540"/>
        <w:jc w:val="both"/>
        <w:rPr>
          <w:iCs/>
          <w:lang w:val="en-US"/>
        </w:rPr>
      </w:pPr>
      <w:r w:rsidRPr="00BA5143">
        <w:rPr>
          <w:bCs/>
          <w:iCs/>
          <w:lang w:val="en-US"/>
        </w:rPr>
        <w:t>Obtaining contractual cash flows is possible but not an integral part of achieving the goal of this business model.</w:t>
      </w:r>
    </w:p>
    <w:p w:rsidR="0040484F" w:rsidRPr="00BA5143" w:rsidRDefault="0040484F" w:rsidP="0040484F">
      <w:pPr>
        <w:pStyle w:val="26"/>
        <w:tabs>
          <w:tab w:val="left" w:pos="993"/>
        </w:tabs>
        <w:spacing w:after="0"/>
        <w:ind w:hanging="153"/>
        <w:jc w:val="both"/>
        <w:rPr>
          <w:rFonts w:ascii="Times New Roman" w:hAnsi="Times New Roman"/>
          <w:i/>
          <w:sz w:val="24"/>
          <w:szCs w:val="24"/>
          <w:lang w:val="en-US" w:eastAsia="ru-RU"/>
        </w:rPr>
      </w:pPr>
      <w:r w:rsidRPr="00BA5143">
        <w:rPr>
          <w:rFonts w:ascii="Times New Roman" w:hAnsi="Times New Roman"/>
          <w:i/>
          <w:sz w:val="24"/>
          <w:szCs w:val="24"/>
          <w:lang w:val="en-US" w:eastAsia="ru-RU"/>
        </w:rPr>
        <w:t>Initial recognition of financial instruments</w:t>
      </w:r>
    </w:p>
    <w:p w:rsidR="0040484F" w:rsidRPr="00BA5143" w:rsidRDefault="0040484F" w:rsidP="0040484F">
      <w:pPr>
        <w:ind w:firstLine="540"/>
        <w:jc w:val="both"/>
        <w:rPr>
          <w:bCs/>
          <w:iCs/>
          <w:lang w:val="en-US"/>
        </w:rPr>
      </w:pPr>
      <w:r w:rsidRPr="00BA5143">
        <w:rPr>
          <w:bCs/>
          <w:iCs/>
          <w:lang w:val="en-US"/>
        </w:rPr>
        <w:t xml:space="preserve">The Bank recognizes a financial asset or financial liability in the balance sheet when and only when it becomes a party to the contractual provisions of the instrument. Ordinary </w:t>
      </w:r>
      <w:r w:rsidRPr="00BA5143">
        <w:rPr>
          <w:bCs/>
          <w:iCs/>
          <w:lang w:val="en-US"/>
        </w:rPr>
        <w:lastRenderedPageBreak/>
        <w:t>acquisition or sale of financial assets is recognized by the Bank using the accounting date of the transaction.</w:t>
      </w:r>
    </w:p>
    <w:p w:rsidR="0040484F" w:rsidRPr="00BA5143" w:rsidRDefault="0040484F" w:rsidP="0040484F">
      <w:pPr>
        <w:ind w:firstLine="540"/>
        <w:jc w:val="both"/>
        <w:rPr>
          <w:bCs/>
          <w:iCs/>
          <w:lang w:val="en-US"/>
        </w:rPr>
      </w:pPr>
      <w:r w:rsidRPr="00BA5143">
        <w:rPr>
          <w:bCs/>
          <w:iCs/>
          <w:lang w:val="en-US"/>
        </w:rPr>
        <w:t>The Bank, at initial recognition of financial instruments, estimates them at fair value plus transaction costs. The exception is the initial recognition of financial instruments that are arranged at fair value with the recognition of revaluation profit / loss: expenses incurred on transactions with the acquisition of such financial assets are recognized as expenses on the date of transaction.</w:t>
      </w:r>
    </w:p>
    <w:p w:rsidR="0040484F" w:rsidRPr="00BA5143" w:rsidRDefault="0040484F" w:rsidP="0040484F">
      <w:pPr>
        <w:ind w:firstLine="540"/>
        <w:jc w:val="both"/>
        <w:rPr>
          <w:lang w:val="en-US" w:eastAsia="en-US"/>
        </w:rPr>
      </w:pPr>
      <w:r w:rsidRPr="00BA5143">
        <w:rPr>
          <w:lang w:val="en-US" w:eastAsia="en-US"/>
        </w:rPr>
        <w:t xml:space="preserve">The Bank recognizes a financial instrument in its accounting for profit or loss at the amount of the difference between the fair value of the financial asset or financial liability and the value of the contract in correspondence with the discount / premium account if the effective interest rate on this instrument is higher or lower, than market. The difference between the fair value of a financial asset or a financial liability and the value of an agreement with a bank's shareholder is reflected in equity capital and included in the aggregate of retained </w:t>
      </w:r>
      <w:r w:rsidR="00FB079D" w:rsidRPr="00BA5143">
        <w:rPr>
          <w:lang w:val="en-US" w:eastAsia="en-US"/>
        </w:rPr>
        <w:t xml:space="preserve">profit </w:t>
      </w:r>
      <w:r w:rsidRPr="00BA5143">
        <w:rPr>
          <w:lang w:val="en-US" w:eastAsia="en-US"/>
        </w:rPr>
        <w:t>(loss) on the disposal of the financial instrument.</w:t>
      </w:r>
    </w:p>
    <w:p w:rsidR="0040484F" w:rsidRPr="00BA5143" w:rsidRDefault="0040484F" w:rsidP="0040484F">
      <w:pPr>
        <w:ind w:firstLine="540"/>
        <w:jc w:val="both"/>
        <w:rPr>
          <w:lang w:val="en-US" w:eastAsia="en-US"/>
        </w:rPr>
      </w:pPr>
      <w:r w:rsidRPr="00BA5143">
        <w:rPr>
          <w:lang w:val="en-US" w:eastAsia="en-US"/>
        </w:rPr>
        <w:t>At initial recognition, the Bank classifies financial assets based on the business model it uses to manage these assets and the cash flow characteristics provided for by the agreement.</w:t>
      </w:r>
    </w:p>
    <w:p w:rsidR="0040484F" w:rsidRPr="00BA5143" w:rsidRDefault="0040484F" w:rsidP="0040484F">
      <w:pPr>
        <w:ind w:firstLine="540"/>
        <w:jc w:val="both"/>
        <w:rPr>
          <w:lang w:val="en-US" w:eastAsia="en-US"/>
        </w:rPr>
      </w:pPr>
      <w:r w:rsidRPr="00BA5143">
        <w:rPr>
          <w:lang w:val="en-US" w:eastAsia="en-US"/>
        </w:rPr>
        <w:t>The Bank classifies financial liabilities as being subsequently measured at amortized cost, with the exception of derivative financial instruments, financial guarantee contracts, lending commitments at interest rates lower than market rates.</w:t>
      </w:r>
    </w:p>
    <w:p w:rsidR="0040484F" w:rsidRPr="00BA5143" w:rsidRDefault="00FB079D" w:rsidP="0040484F">
      <w:pPr>
        <w:ind w:firstLine="540"/>
        <w:jc w:val="both"/>
        <w:rPr>
          <w:lang w:val="en-US" w:eastAsia="en-US"/>
        </w:rPr>
      </w:pPr>
      <w:r w:rsidRPr="00BA5143">
        <w:rPr>
          <w:lang w:val="en-US" w:eastAsia="en-US"/>
        </w:rPr>
        <w:t>Bank on initial recognition reflects estimates and accounting financial guarantees and firm commitments on loans granted at a rate lower than the market, at fair value.</w:t>
      </w:r>
    </w:p>
    <w:p w:rsidR="00FB079D" w:rsidRPr="00BA5143" w:rsidRDefault="00FB079D" w:rsidP="0040484F">
      <w:pPr>
        <w:ind w:firstLine="540"/>
        <w:jc w:val="both"/>
        <w:rPr>
          <w:b/>
          <w:i/>
          <w:lang w:val="en-US"/>
        </w:rPr>
      </w:pPr>
    </w:p>
    <w:p w:rsidR="00FB079D" w:rsidRPr="00BA5143" w:rsidRDefault="00FB079D" w:rsidP="00FB079D">
      <w:pPr>
        <w:pStyle w:val="12"/>
        <w:tabs>
          <w:tab w:val="left" w:pos="851"/>
        </w:tabs>
        <w:ind w:left="0" w:firstLine="567"/>
        <w:jc w:val="both"/>
        <w:rPr>
          <w:szCs w:val="24"/>
          <w:lang w:val="en-US"/>
        </w:rPr>
      </w:pPr>
      <w:r w:rsidRPr="00BA5143">
        <w:rPr>
          <w:szCs w:val="24"/>
          <w:lang w:val="en-US"/>
        </w:rPr>
        <w:t>The Bank reclassifies all financial assets covered by relevant changes if and only if the business model of financial assets management changes. Reclassification is applied prospectively, starting from the day of reclassification. The Bank does not reclassify previously recognized gains, losses (including gains or losses) or interest.</w:t>
      </w:r>
    </w:p>
    <w:p w:rsidR="00FB079D" w:rsidRPr="00BA5143" w:rsidRDefault="00FB079D" w:rsidP="00FB079D">
      <w:pPr>
        <w:pStyle w:val="12"/>
        <w:tabs>
          <w:tab w:val="left" w:pos="851"/>
        </w:tabs>
        <w:ind w:left="0" w:firstLine="567"/>
        <w:jc w:val="both"/>
        <w:rPr>
          <w:szCs w:val="24"/>
          <w:lang w:val="en-US"/>
        </w:rPr>
      </w:pPr>
      <w:r w:rsidRPr="00BA5143">
        <w:rPr>
          <w:szCs w:val="24"/>
          <w:lang w:val="en-US"/>
        </w:rPr>
        <w:t>In the case of a reclassification of a financial asset from the category of those measured at amortized cost to the category of those measured at fair value through profit or loss, the fair value of such an asset is measured at the date of reclassification. Any gain or loss arising as a difference between the previous amortized cost of a financial asset and its fair value is recognized in profit or loss.</w:t>
      </w:r>
    </w:p>
    <w:p w:rsidR="00FB079D" w:rsidRPr="00BA5143" w:rsidRDefault="00FB079D" w:rsidP="00FB079D">
      <w:pPr>
        <w:ind w:firstLine="567"/>
        <w:jc w:val="both"/>
        <w:rPr>
          <w:lang w:val="en-US"/>
        </w:rPr>
      </w:pPr>
      <w:r w:rsidRPr="00BA5143">
        <w:rPr>
          <w:lang w:val="en-US"/>
        </w:rPr>
        <w:t>The reclassification of a financial asset from the category of those at fair value through profit or loss to the category of those measured at amortized cost is carried at the fair value of the asset at the date of reclassification, which becomes its new gross carrying amount. At the same time, the effective interest rate is determined on the basis of fair value at the date of reclassification, and the reclassification date itself is the date of initial recognition.</w:t>
      </w:r>
    </w:p>
    <w:p w:rsidR="004F2A97" w:rsidRPr="00BA5143" w:rsidRDefault="004F2A97" w:rsidP="004F2A97">
      <w:pPr>
        <w:pStyle w:val="12"/>
        <w:tabs>
          <w:tab w:val="left" w:pos="851"/>
        </w:tabs>
        <w:ind w:left="0" w:firstLine="540"/>
        <w:jc w:val="both"/>
        <w:rPr>
          <w:szCs w:val="24"/>
          <w:lang w:val="en-US"/>
        </w:rPr>
      </w:pPr>
      <w:r w:rsidRPr="00BA5143">
        <w:rPr>
          <w:szCs w:val="24"/>
          <w:lang w:val="en-US"/>
        </w:rPr>
        <w:t>If the Bank reclassifies a financial asset from the category of those measured at amortized cost to that which is measured at fair value through other comprehensive income, the fair value of the asset is estimated at the date of reclassification. Any gain or loss arising as a difference between the previous amortized cost of a financial asset and its fair value is recognized in other comprehensive income. An effective rate and an estimate of expected credit losses are not subject to adjustment.</w:t>
      </w:r>
    </w:p>
    <w:p w:rsidR="004F2A97" w:rsidRPr="00BA5143" w:rsidRDefault="004F2A97" w:rsidP="004F2A97">
      <w:pPr>
        <w:pStyle w:val="12"/>
        <w:tabs>
          <w:tab w:val="left" w:pos="851"/>
        </w:tabs>
        <w:ind w:left="0" w:firstLine="540"/>
        <w:jc w:val="both"/>
        <w:rPr>
          <w:szCs w:val="24"/>
          <w:lang w:val="en-US"/>
        </w:rPr>
      </w:pPr>
      <w:r w:rsidRPr="00BA5143">
        <w:rPr>
          <w:szCs w:val="24"/>
          <w:lang w:val="en-US"/>
        </w:rPr>
        <w:t>In case of the decision to reclassify a financial asset from the category of fair value through other comprehensive income to the category of those measured at amortized cost, the fair value of such an asset at the date of reclassification becomes its new gross carrying amount, however, the cumulative gain or loss, previously recognized in other comprehensive income is excluded from equity and the fair value of the financial asset at the date of reclassification is adjusted accordingly. As a result, a financial asset is valued at reclassification as if it were always measured at amortized cost. Such an adjustment affects other comprehensive income but does not affect the profit or loss and therefore is not a reclassification adjustment. An effective interest rate and an estimate of expected credit losses as a result of such reclassification are not subject to correction.</w:t>
      </w:r>
    </w:p>
    <w:p w:rsidR="004F2A97" w:rsidRPr="00BA5143" w:rsidRDefault="004F2A97" w:rsidP="004F2A97">
      <w:pPr>
        <w:ind w:firstLine="539"/>
        <w:jc w:val="both"/>
        <w:rPr>
          <w:rFonts w:eastAsia="Calibri"/>
          <w:lang w:val="en-US"/>
        </w:rPr>
      </w:pPr>
      <w:r w:rsidRPr="00BA5143">
        <w:rPr>
          <w:rFonts w:eastAsia="Calibri"/>
          <w:lang w:val="en-US"/>
        </w:rPr>
        <w:lastRenderedPageBreak/>
        <w:t>If the Bank reclassifies a financial asset from the category of those measured at fair value through profit or loss to the category of fair value through other comprehensive income, the financial asset is subsequently measured at its fair value.</w:t>
      </w:r>
    </w:p>
    <w:p w:rsidR="004F2A97" w:rsidRPr="00BA5143" w:rsidRDefault="004F2A97" w:rsidP="004F2A97">
      <w:pPr>
        <w:ind w:firstLine="539"/>
        <w:jc w:val="both"/>
        <w:rPr>
          <w:rFonts w:eastAsia="Calibri"/>
          <w:lang w:val="en-US"/>
        </w:rPr>
      </w:pPr>
      <w:r w:rsidRPr="00BA5143">
        <w:rPr>
          <w:rFonts w:eastAsia="Calibri"/>
          <w:lang w:val="en-US"/>
        </w:rPr>
        <w:t>In the event of a decision to reclassify a financial asset from the category of fair value through other comprehensive income to the category of fair value through profit or loss, the financial asset is subsequently measured at its fair value. A cumulative gain or loss previously recognized in other comprehensive income is reclassified from equity into profit or loss as a reclassification adjustment.</w:t>
      </w:r>
    </w:p>
    <w:p w:rsidR="003578F5" w:rsidRPr="00BA5143" w:rsidRDefault="004F2A97" w:rsidP="004F2A97">
      <w:pPr>
        <w:ind w:firstLine="539"/>
        <w:jc w:val="both"/>
        <w:rPr>
          <w:rFonts w:eastAsia="Calibri"/>
          <w:lang w:val="en-US"/>
        </w:rPr>
      </w:pPr>
      <w:r w:rsidRPr="00BA5143">
        <w:rPr>
          <w:rFonts w:eastAsia="Calibri"/>
          <w:lang w:val="en-US"/>
        </w:rPr>
        <w:t>The Bank does not reclassify any financial liabilities.</w:t>
      </w:r>
    </w:p>
    <w:p w:rsidR="004F2A97" w:rsidRPr="00BA5143" w:rsidRDefault="004F2A97" w:rsidP="004F2A97">
      <w:pPr>
        <w:ind w:firstLine="539"/>
        <w:jc w:val="both"/>
        <w:rPr>
          <w:b/>
          <w:i/>
          <w:lang w:val="en-US"/>
        </w:rPr>
      </w:pPr>
    </w:p>
    <w:p w:rsidR="00E9557B" w:rsidRPr="00BA5143" w:rsidRDefault="00E9557B" w:rsidP="00E9557B">
      <w:pPr>
        <w:tabs>
          <w:tab w:val="left" w:pos="993"/>
        </w:tabs>
        <w:ind w:firstLine="567"/>
        <w:jc w:val="both"/>
        <w:rPr>
          <w:rFonts w:eastAsia="Calibri"/>
          <w:b/>
          <w:i/>
          <w:lang w:val="en-US"/>
        </w:rPr>
      </w:pPr>
      <w:r w:rsidRPr="00BA5143">
        <w:rPr>
          <w:rFonts w:eastAsia="Calibri"/>
          <w:b/>
          <w:i/>
          <w:lang w:val="en-US"/>
        </w:rPr>
        <w:t>Modifications under contract cash flows of financial assets</w:t>
      </w:r>
    </w:p>
    <w:p w:rsidR="00E9557B" w:rsidRPr="00BA5143" w:rsidRDefault="00E9557B" w:rsidP="00E9557B">
      <w:pPr>
        <w:tabs>
          <w:tab w:val="left" w:pos="993"/>
        </w:tabs>
        <w:ind w:firstLine="567"/>
        <w:jc w:val="both"/>
        <w:rPr>
          <w:rFonts w:eastAsia="Calibri"/>
          <w:b/>
          <w:i/>
          <w:lang w:val="en-US"/>
        </w:rPr>
      </w:pPr>
    </w:p>
    <w:p w:rsidR="00E9557B" w:rsidRPr="00BA5143" w:rsidRDefault="00E9557B" w:rsidP="00E9557B">
      <w:pPr>
        <w:tabs>
          <w:tab w:val="left" w:pos="993"/>
        </w:tabs>
        <w:ind w:firstLine="567"/>
        <w:jc w:val="both"/>
        <w:rPr>
          <w:rFonts w:eastAsia="Calibri"/>
          <w:bCs/>
          <w:iCs/>
          <w:lang w:val="en-US"/>
        </w:rPr>
      </w:pPr>
      <w:r w:rsidRPr="00BA5143">
        <w:rPr>
          <w:rFonts w:eastAsia="Calibri"/>
          <w:bCs/>
          <w:iCs/>
          <w:lang w:val="en-US"/>
        </w:rPr>
        <w:t>The Bank records in the accounting changes in terms of an agreement or modification of a financial asset, which leads to a revision of cash flows for it, as:</w:t>
      </w:r>
    </w:p>
    <w:p w:rsidR="00E9557B" w:rsidRPr="00BA5143" w:rsidRDefault="00E9557B" w:rsidP="00E9557B">
      <w:pPr>
        <w:tabs>
          <w:tab w:val="left" w:pos="993"/>
        </w:tabs>
        <w:ind w:firstLine="567"/>
        <w:jc w:val="both"/>
        <w:rPr>
          <w:rFonts w:eastAsia="Calibri"/>
          <w:bCs/>
          <w:iCs/>
          <w:lang w:val="en-US"/>
        </w:rPr>
      </w:pPr>
      <w:r w:rsidRPr="00BA5143">
        <w:rPr>
          <w:rFonts w:eastAsia="Calibri"/>
          <w:bCs/>
          <w:iCs/>
          <w:lang w:val="en-US"/>
        </w:rPr>
        <w:t>1) derecognition of the original financial asset and the recognition of a new financial asset at fair value; or</w:t>
      </w:r>
    </w:p>
    <w:p w:rsidR="0091077D" w:rsidRPr="00BA5143" w:rsidRDefault="00E9557B" w:rsidP="00E9557B">
      <w:pPr>
        <w:tabs>
          <w:tab w:val="left" w:pos="993"/>
        </w:tabs>
        <w:ind w:firstLine="567"/>
        <w:jc w:val="both"/>
        <w:rPr>
          <w:rFonts w:eastAsia="Calibri"/>
          <w:bCs/>
          <w:iCs/>
          <w:lang w:val="en-US"/>
        </w:rPr>
      </w:pPr>
      <w:r w:rsidRPr="00BA5143">
        <w:rPr>
          <w:rFonts w:eastAsia="Calibri"/>
          <w:bCs/>
          <w:iCs/>
          <w:lang w:val="en-US"/>
        </w:rPr>
        <w:t>2) continued recognition of an initial financial asset with new terms.</w:t>
      </w:r>
    </w:p>
    <w:p w:rsidR="00E9557B" w:rsidRPr="00BA5143" w:rsidRDefault="00E9557B" w:rsidP="00E9557B">
      <w:pPr>
        <w:tabs>
          <w:tab w:val="left" w:pos="993"/>
        </w:tabs>
        <w:ind w:firstLine="567"/>
        <w:jc w:val="both"/>
        <w:rPr>
          <w:bCs/>
          <w:iCs/>
          <w:highlight w:val="green"/>
          <w:lang w:val="en-US"/>
        </w:rPr>
      </w:pPr>
    </w:p>
    <w:p w:rsidR="00E9557B" w:rsidRPr="00BA5143" w:rsidRDefault="00E9557B" w:rsidP="00E9557B">
      <w:pPr>
        <w:ind w:firstLine="540"/>
        <w:jc w:val="both"/>
        <w:rPr>
          <w:lang w:val="en-US"/>
        </w:rPr>
      </w:pPr>
      <w:r w:rsidRPr="00BA5143">
        <w:rPr>
          <w:lang w:val="en-US"/>
        </w:rPr>
        <w:t>The Bank recalculates the gross carrying amount of the financial asset and recognizes the income or expense from the modification if the terms of the agreement on the financial asset are reviewed by agreement of the parties or any other modification occurs, which does not result in the cessation of recognition of the original financial asset.</w:t>
      </w:r>
    </w:p>
    <w:p w:rsidR="00E9557B" w:rsidRPr="00BA5143" w:rsidRDefault="00E9557B" w:rsidP="00E9557B">
      <w:pPr>
        <w:ind w:firstLine="540"/>
        <w:jc w:val="both"/>
        <w:rPr>
          <w:lang w:val="en-US"/>
        </w:rPr>
      </w:pPr>
      <w:r w:rsidRPr="00BA5143">
        <w:rPr>
          <w:lang w:val="en-US"/>
        </w:rPr>
        <w:t>The Bank calculates a new gross carrying amount as the present value of the revised or modified cash flows provided by the contract, discounted at the original effective interest rate (or the original effective interest rate adjusted for credit risk - for purchased or created depreciated financial assets). The Bank includes transaction costs to the carrying amount of the modified financial asset and depreciates them during the life of such an asset.</w:t>
      </w:r>
    </w:p>
    <w:p w:rsidR="00E9557B" w:rsidRPr="00BA5143" w:rsidRDefault="00E9557B" w:rsidP="00E9557B">
      <w:pPr>
        <w:ind w:firstLine="540"/>
        <w:jc w:val="both"/>
        <w:rPr>
          <w:lang w:val="en-US"/>
        </w:rPr>
      </w:pPr>
      <w:r w:rsidRPr="00BA5143">
        <w:rPr>
          <w:lang w:val="en-US"/>
        </w:rPr>
        <w:t>The Bank recognizes the difference between the gross carrying amount of the original terms and the gross carrying amount under revised or modified terms as income or expense from the change.</w:t>
      </w:r>
    </w:p>
    <w:p w:rsidR="0091077D" w:rsidRPr="00BA5143" w:rsidRDefault="006F06B3" w:rsidP="00E60B46">
      <w:pPr>
        <w:ind w:firstLine="540"/>
        <w:jc w:val="both"/>
        <w:rPr>
          <w:lang w:val="en-US"/>
        </w:rPr>
      </w:pPr>
      <w:r w:rsidRPr="00BA5143">
        <w:rPr>
          <w:lang w:val="en-US"/>
        </w:rPr>
        <w:t>The Bank ceases to recognize an initial financial asset and recognizes a new financial asset if the revised or modified cash flows provided for in the contract result in the cessation of recognition of the original financial asset. The Bank recognizes at the date of the modification a new financial asset at fair value, taking into account transaction costs associated with the creation of a new financial asset (with the exception of a new asset held at fair value through profit or loss) and determines the amount of expected credit losses for 12 months.</w:t>
      </w:r>
    </w:p>
    <w:p w:rsidR="006F06B3" w:rsidRPr="00BA5143" w:rsidRDefault="006F06B3" w:rsidP="00E60B46">
      <w:pPr>
        <w:ind w:firstLine="540"/>
        <w:jc w:val="both"/>
        <w:rPr>
          <w:b/>
          <w:i/>
          <w:lang w:val="en-US"/>
        </w:rPr>
      </w:pPr>
    </w:p>
    <w:p w:rsidR="004448F1" w:rsidRPr="00BA5143" w:rsidRDefault="004448F1" w:rsidP="004448F1">
      <w:pPr>
        <w:pStyle w:val="Default"/>
        <w:ind w:firstLine="567"/>
        <w:jc w:val="both"/>
        <w:rPr>
          <w:b/>
          <w:i/>
          <w:color w:val="auto"/>
          <w:lang w:val="en-US" w:eastAsia="ru-RU"/>
        </w:rPr>
      </w:pPr>
      <w:r w:rsidRPr="00BA5143">
        <w:rPr>
          <w:b/>
          <w:i/>
          <w:color w:val="auto"/>
          <w:lang w:val="en-US" w:eastAsia="ru-RU"/>
        </w:rPr>
        <w:t>4.4. Impairment of financial assets</w:t>
      </w:r>
    </w:p>
    <w:p w:rsidR="004448F1" w:rsidRPr="00BA5143" w:rsidRDefault="004448F1" w:rsidP="004448F1">
      <w:pPr>
        <w:pStyle w:val="Default"/>
        <w:ind w:firstLine="567"/>
        <w:jc w:val="both"/>
        <w:rPr>
          <w:b/>
          <w:i/>
          <w:color w:val="auto"/>
          <w:lang w:val="en-US" w:eastAsia="ru-RU"/>
        </w:rPr>
      </w:pPr>
    </w:p>
    <w:p w:rsidR="004448F1" w:rsidRPr="00BA5143" w:rsidRDefault="004448F1" w:rsidP="004448F1">
      <w:pPr>
        <w:pStyle w:val="Default"/>
        <w:ind w:firstLine="567"/>
        <w:jc w:val="both"/>
        <w:rPr>
          <w:bCs/>
          <w:iCs/>
          <w:color w:val="auto"/>
          <w:lang w:val="en-US" w:eastAsia="ru-RU"/>
        </w:rPr>
      </w:pPr>
      <w:r w:rsidRPr="00BA5143">
        <w:rPr>
          <w:bCs/>
          <w:iCs/>
          <w:color w:val="auto"/>
          <w:lang w:val="en-US" w:eastAsia="ru-RU"/>
        </w:rPr>
        <w:t>In accordance with the requirements of IFRS 9, the Bank applies a model of expected loss, which foresees timely impairment or improvement in the credit quality of financial instruments, based on available information and future projections. The amount of expected loss recognized as a provision for impairment losses depends on the degree of deterioration in the credit quality since the initial recognition of the financial instrument.</w:t>
      </w:r>
    </w:p>
    <w:p w:rsidR="004448F1" w:rsidRPr="00BA5143" w:rsidRDefault="004448F1" w:rsidP="004448F1">
      <w:pPr>
        <w:pStyle w:val="Default"/>
        <w:ind w:firstLine="567"/>
        <w:jc w:val="both"/>
        <w:rPr>
          <w:bCs/>
          <w:iCs/>
          <w:color w:val="auto"/>
          <w:lang w:val="en-US" w:eastAsia="ru-RU"/>
        </w:rPr>
      </w:pPr>
      <w:r w:rsidRPr="00BA5143">
        <w:rPr>
          <w:bCs/>
          <w:iCs/>
          <w:color w:val="auto"/>
          <w:lang w:val="en-US" w:eastAsia="ru-RU"/>
        </w:rPr>
        <w:t>The general process of estimating the impairment involves 2 stages: analysis of the level of credit risk and calculation of the amount of expected credit losses.</w:t>
      </w:r>
    </w:p>
    <w:p w:rsidR="004448F1" w:rsidRPr="00BA5143" w:rsidRDefault="004448F1" w:rsidP="004448F1">
      <w:pPr>
        <w:pStyle w:val="Default"/>
        <w:ind w:firstLine="567"/>
        <w:jc w:val="both"/>
        <w:rPr>
          <w:bCs/>
          <w:iCs/>
          <w:color w:val="auto"/>
          <w:lang w:val="en-US" w:eastAsia="ru-RU"/>
        </w:rPr>
      </w:pPr>
      <w:r w:rsidRPr="00BA5143">
        <w:rPr>
          <w:bCs/>
          <w:iCs/>
          <w:color w:val="auto"/>
          <w:lang w:val="en-US" w:eastAsia="ru-RU"/>
        </w:rPr>
        <w:t>Under the general approach, the provision for impairment is calculated on the basis of:</w:t>
      </w:r>
    </w:p>
    <w:p w:rsidR="004448F1" w:rsidRPr="00BA5143" w:rsidRDefault="004448F1" w:rsidP="004448F1">
      <w:pPr>
        <w:pStyle w:val="Default"/>
        <w:ind w:firstLine="567"/>
        <w:jc w:val="both"/>
        <w:rPr>
          <w:bCs/>
          <w:iCs/>
          <w:color w:val="auto"/>
          <w:lang w:val="en-US" w:eastAsia="ru-RU"/>
        </w:rPr>
      </w:pPr>
      <w:r w:rsidRPr="00BA5143">
        <w:rPr>
          <w:bCs/>
          <w:iCs/>
          <w:color w:val="auto"/>
          <w:lang w:val="en-US" w:eastAsia="ru-RU"/>
        </w:rPr>
        <w:t>- expected losses during the year - for financial instruments without signs of material deterioration of credit quality from the moment of initial recognition;</w:t>
      </w:r>
    </w:p>
    <w:p w:rsidR="004448F1" w:rsidRPr="00BA5143" w:rsidRDefault="004448F1" w:rsidP="004448F1">
      <w:pPr>
        <w:pStyle w:val="Default"/>
        <w:ind w:firstLine="567"/>
        <w:jc w:val="both"/>
        <w:rPr>
          <w:bCs/>
          <w:iCs/>
          <w:color w:val="auto"/>
          <w:lang w:val="en-US" w:eastAsia="ru-RU"/>
        </w:rPr>
      </w:pPr>
      <w:r w:rsidRPr="00BA5143">
        <w:rPr>
          <w:bCs/>
          <w:iCs/>
          <w:color w:val="auto"/>
          <w:lang w:val="en-US" w:eastAsia="ru-RU"/>
        </w:rPr>
        <w:t>- expected losses for the entire duration of the term - for financial instruments that have revealed a significant increase in credit risk.</w:t>
      </w:r>
    </w:p>
    <w:p w:rsidR="004448F1" w:rsidRPr="00BA5143" w:rsidRDefault="004448F1" w:rsidP="004448F1">
      <w:pPr>
        <w:pStyle w:val="Default"/>
        <w:tabs>
          <w:tab w:val="left" w:pos="851"/>
        </w:tabs>
        <w:ind w:firstLine="567"/>
        <w:jc w:val="both"/>
        <w:rPr>
          <w:lang w:val="en-US"/>
        </w:rPr>
      </w:pPr>
      <w:r w:rsidRPr="00BA5143">
        <w:rPr>
          <w:lang w:val="en-US"/>
        </w:rPr>
        <w:lastRenderedPageBreak/>
        <w:t>For financial instruments that have been impaired at the time of their acquisition, an approach is used for which the provision is calculated in the amount of accumulated changes in the amount of expected loss for the entire period of the financial instrument's existence. At the date of initial recognition, the Bank takes into account expected losses in determining the effective interest rate and the provision for such transactions is not calculated. Subsequently, the Bank determines the changes since the initial recognition in the accumulated amount of expected loan losses for the entire period of the financial instrument's existence.</w:t>
      </w:r>
    </w:p>
    <w:p w:rsidR="000E6E39" w:rsidRPr="00BA5143" w:rsidRDefault="004448F1" w:rsidP="004448F1">
      <w:pPr>
        <w:pStyle w:val="Default"/>
        <w:tabs>
          <w:tab w:val="left" w:pos="851"/>
        </w:tabs>
        <w:ind w:firstLine="567"/>
        <w:jc w:val="both"/>
        <w:rPr>
          <w:lang w:val="en-US"/>
        </w:rPr>
      </w:pPr>
      <w:r w:rsidRPr="00BA5143">
        <w:rPr>
          <w:lang w:val="en-US"/>
        </w:rPr>
        <w:t>For each reporting date, the Bank recognizes the estimated provision for impairment losses on the basis of expected loan losses during the 12 months or expected loan losses during the period of the instrument (depending on the degree of deterioration of the credit quality of the financial instrument after initial recognition). Changes in the provision for impairment losses are recognized in profit or loss as income or expense from impairment. The Bank makes the following assessment at each reporting date:</w:t>
      </w:r>
    </w:p>
    <w:p w:rsidR="000E6E39" w:rsidRPr="00BA5143" w:rsidRDefault="000E6E39" w:rsidP="000E6E39">
      <w:pPr>
        <w:pStyle w:val="Default"/>
        <w:tabs>
          <w:tab w:val="left" w:pos="851"/>
        </w:tabs>
        <w:ind w:firstLine="567"/>
        <w:jc w:val="both"/>
        <w:rPr>
          <w:bCs/>
          <w:lang w:val="en-US"/>
        </w:rPr>
      </w:pPr>
      <w:r w:rsidRPr="00BA5143">
        <w:rPr>
          <w:bCs/>
          <w:lang w:val="en-US"/>
        </w:rPr>
        <w:t>- for instruments that are prone to credit risk, in the absence of a significant increase in credit risk after initial recognition, the Bank creates an estimated provision for expected credit losses for 12 months, that is, the portion of expected credit losses during the instrument period that results from default events that are possible during 12 months after the reporting date. (Stage 1)</w:t>
      </w:r>
    </w:p>
    <w:p w:rsidR="000E6E39" w:rsidRPr="00BA5143" w:rsidRDefault="000E6E39" w:rsidP="000E6E39">
      <w:pPr>
        <w:pStyle w:val="Default"/>
        <w:tabs>
          <w:tab w:val="left" w:pos="851"/>
        </w:tabs>
        <w:ind w:firstLine="567"/>
        <w:jc w:val="both"/>
        <w:rPr>
          <w:bCs/>
          <w:lang w:val="en-US"/>
        </w:rPr>
      </w:pPr>
      <w:r w:rsidRPr="00BA5143">
        <w:rPr>
          <w:bCs/>
          <w:lang w:val="en-US"/>
        </w:rPr>
        <w:t>- for instruments subject to credit risk, with a significant increase in credit risk after initial recognition on an individual or group basis, but without any indication of impairment (default), an estimated provision for impairment losses for expected loan losses is formed for the entire duration of the instrument. (Stage 2)</w:t>
      </w:r>
    </w:p>
    <w:p w:rsidR="000E6E39" w:rsidRPr="00BA5143" w:rsidRDefault="000E6E39" w:rsidP="000E6E39">
      <w:pPr>
        <w:pStyle w:val="Default"/>
        <w:tabs>
          <w:tab w:val="left" w:pos="851"/>
        </w:tabs>
        <w:ind w:firstLine="567"/>
        <w:jc w:val="both"/>
        <w:rPr>
          <w:bCs/>
          <w:lang w:val="en-US"/>
        </w:rPr>
      </w:pPr>
      <w:r w:rsidRPr="00BA5143">
        <w:rPr>
          <w:bCs/>
          <w:lang w:val="en-US"/>
        </w:rPr>
        <w:t>- for instruments subject to credit risk, with a significant increase in credit risk after initial recognition on an individual or group basis, with signs of impairment (default), an estimated provision for impairment losses is expected for the expected duration of the instrument. (Stage 3)</w:t>
      </w:r>
    </w:p>
    <w:p w:rsidR="000E6E39" w:rsidRPr="00BA5143" w:rsidRDefault="000E6E39" w:rsidP="000E6E39">
      <w:pPr>
        <w:pStyle w:val="Default"/>
        <w:tabs>
          <w:tab w:val="left" w:pos="0"/>
        </w:tabs>
        <w:ind w:right="-48" w:firstLine="567"/>
        <w:rPr>
          <w:bCs/>
          <w:lang w:val="en-US"/>
        </w:rPr>
      </w:pPr>
      <w:r w:rsidRPr="00BA5143">
        <w:rPr>
          <w:bCs/>
          <w:lang w:val="en-US"/>
        </w:rPr>
        <w:t>If in the subsequent reporting periods the credit quality of a financial instrument is improved to such an extent that significant deterioration of the credit risk after initial recognition is not yet present, the Bank returns to the determination of the estimated provision for impairment on the basis of expected credit losses for 12 months.</w:t>
      </w:r>
    </w:p>
    <w:p w:rsidR="000E6E39" w:rsidRPr="00BA5143" w:rsidRDefault="000E6E39" w:rsidP="000E6E39">
      <w:pPr>
        <w:pStyle w:val="Default"/>
        <w:tabs>
          <w:tab w:val="left" w:pos="0"/>
        </w:tabs>
        <w:ind w:left="-2" w:right="-48" w:firstLine="428"/>
        <w:rPr>
          <w:lang w:val="en-US"/>
        </w:rPr>
      </w:pPr>
      <w:r w:rsidRPr="00BA5143">
        <w:rPr>
          <w:bCs/>
          <w:lang w:val="en-US"/>
        </w:rPr>
        <w:t>The factors and criteria considered by the Bank as evidence of a significant increase in credit risk and the existence of default indicators in terms of different segments of borrowers / counterparties are as follows:</w:t>
      </w:r>
    </w:p>
    <w:p w:rsidR="000E6E39" w:rsidRPr="00BA5143" w:rsidRDefault="000E6E39" w:rsidP="000E6E39">
      <w:pPr>
        <w:pStyle w:val="Default"/>
        <w:jc w:val="both"/>
        <w:rPr>
          <w:lang w:val="en-US"/>
        </w:rPr>
      </w:pPr>
      <w:r w:rsidRPr="00BA5143">
        <w:rPr>
          <w:lang w:val="en-US"/>
        </w:rPr>
        <w:t>-  Lowering the borrower class 2 or class 1, starting with 6 classes.</w:t>
      </w:r>
    </w:p>
    <w:p w:rsidR="000E6E39" w:rsidRPr="00BA5143" w:rsidRDefault="000E6E39" w:rsidP="000E6E39">
      <w:pPr>
        <w:pStyle w:val="Default"/>
        <w:jc w:val="both"/>
        <w:rPr>
          <w:lang w:val="en-US"/>
        </w:rPr>
      </w:pPr>
      <w:r w:rsidRPr="00BA5143">
        <w:rPr>
          <w:lang w:val="en-US"/>
        </w:rPr>
        <w:t>- Overdue payables for payments ranging from 30 to 90 days.</w:t>
      </w:r>
    </w:p>
    <w:p w:rsidR="000E6E39" w:rsidRPr="00BA5143" w:rsidRDefault="000E6E39" w:rsidP="000E6E39">
      <w:pPr>
        <w:pStyle w:val="Default"/>
        <w:jc w:val="both"/>
        <w:rPr>
          <w:lang w:val="en-US"/>
        </w:rPr>
      </w:pPr>
      <w:r w:rsidRPr="00BA5143">
        <w:rPr>
          <w:lang w:val="en-US"/>
        </w:rPr>
        <w:t>- Debt up to EBITDA of more than 5 in the current quarter.</w:t>
      </w:r>
    </w:p>
    <w:p w:rsidR="000E6E39" w:rsidRPr="00BA5143" w:rsidRDefault="000E6E39" w:rsidP="000E6E39">
      <w:pPr>
        <w:pStyle w:val="Default"/>
        <w:jc w:val="both"/>
        <w:rPr>
          <w:lang w:val="en-US"/>
        </w:rPr>
      </w:pPr>
      <w:r w:rsidRPr="00BA5143">
        <w:rPr>
          <w:lang w:val="en-US"/>
        </w:rPr>
        <w:t>-Availability of information on litigation or enforcement proceedings leading to liquidity problems.</w:t>
      </w:r>
    </w:p>
    <w:p w:rsidR="000E6E39" w:rsidRPr="00BA5143" w:rsidRDefault="000E6E39" w:rsidP="000E6E39">
      <w:pPr>
        <w:pStyle w:val="Default"/>
        <w:jc w:val="both"/>
        <w:rPr>
          <w:lang w:val="en-US"/>
        </w:rPr>
      </w:pPr>
      <w:r w:rsidRPr="00BA5143">
        <w:rPr>
          <w:lang w:val="en-US"/>
        </w:rPr>
        <w:t>- Blocking current accounts for more than 7 days.</w:t>
      </w:r>
    </w:p>
    <w:p w:rsidR="000E6E39" w:rsidRPr="00BA5143" w:rsidRDefault="000E6E39" w:rsidP="000E6E39">
      <w:pPr>
        <w:pStyle w:val="Default"/>
        <w:jc w:val="both"/>
        <w:rPr>
          <w:lang w:val="en-US"/>
        </w:rPr>
      </w:pPr>
      <w:r w:rsidRPr="00BA5143">
        <w:rPr>
          <w:lang w:val="en-US"/>
        </w:rPr>
        <w:t>- Violation of terms of loan agreements (except for overdue debt).</w:t>
      </w:r>
    </w:p>
    <w:p w:rsidR="000E6E39" w:rsidRPr="00BA5143" w:rsidRDefault="000E6E39" w:rsidP="000E6E39">
      <w:pPr>
        <w:pStyle w:val="Default"/>
        <w:jc w:val="both"/>
        <w:rPr>
          <w:lang w:val="en-US"/>
        </w:rPr>
      </w:pPr>
      <w:r w:rsidRPr="00BA5143">
        <w:rPr>
          <w:lang w:val="en-US"/>
        </w:rPr>
        <w:t>- Negative value of equity capital.</w:t>
      </w:r>
    </w:p>
    <w:p w:rsidR="000E6E39" w:rsidRPr="00BA5143" w:rsidRDefault="000E6E39" w:rsidP="000E6E39">
      <w:pPr>
        <w:pStyle w:val="Default"/>
        <w:jc w:val="both"/>
        <w:rPr>
          <w:lang w:val="en-US"/>
        </w:rPr>
      </w:pPr>
      <w:r w:rsidRPr="00BA5143">
        <w:rPr>
          <w:lang w:val="en-US"/>
        </w:rPr>
        <w:t>- Changing ownership or management, which can lead to certain problems.</w:t>
      </w:r>
    </w:p>
    <w:p w:rsidR="000E6E39" w:rsidRPr="00BA5143" w:rsidRDefault="000E6E39" w:rsidP="000E6E39">
      <w:pPr>
        <w:pStyle w:val="Default"/>
        <w:jc w:val="both"/>
        <w:rPr>
          <w:lang w:val="en-US"/>
        </w:rPr>
      </w:pPr>
      <w:r w:rsidRPr="00BA5143">
        <w:rPr>
          <w:lang w:val="en-US"/>
        </w:rPr>
        <w:t>- Problems at the group level.</w:t>
      </w:r>
    </w:p>
    <w:p w:rsidR="000E6E39" w:rsidRPr="00BA5143" w:rsidRDefault="000E6E39" w:rsidP="000E6E39">
      <w:pPr>
        <w:pStyle w:val="Default"/>
        <w:jc w:val="both"/>
        <w:rPr>
          <w:lang w:val="en-US"/>
        </w:rPr>
      </w:pPr>
      <w:r w:rsidRPr="00BA5143">
        <w:rPr>
          <w:lang w:val="en-US"/>
        </w:rPr>
        <w:t>- Changing legislation that can lead to certain problems.</w:t>
      </w:r>
    </w:p>
    <w:p w:rsidR="000E6E39" w:rsidRPr="00BA5143" w:rsidRDefault="000E6E39" w:rsidP="000E6E39">
      <w:pPr>
        <w:pStyle w:val="Default"/>
        <w:jc w:val="both"/>
        <w:rPr>
          <w:lang w:val="en-US"/>
        </w:rPr>
      </w:pPr>
      <w:r w:rsidRPr="00BA5143">
        <w:rPr>
          <w:lang w:val="en-US"/>
        </w:rPr>
        <w:t>- The deterioration of the market situation in the industry;</w:t>
      </w:r>
    </w:p>
    <w:p w:rsidR="00436CE4" w:rsidRPr="00BA5143" w:rsidRDefault="000E6E39" w:rsidP="000E6E39">
      <w:pPr>
        <w:pStyle w:val="Default"/>
        <w:jc w:val="both"/>
        <w:rPr>
          <w:lang w:val="en-US"/>
        </w:rPr>
      </w:pPr>
      <w:r w:rsidRPr="00BA5143">
        <w:rPr>
          <w:lang w:val="en-US"/>
        </w:rPr>
        <w:t>- Reduced by more than 50% of revolutions in the current month compared with the average over the past 3 months.</w:t>
      </w:r>
    </w:p>
    <w:p w:rsidR="000E6E39" w:rsidRPr="00BA5143" w:rsidRDefault="000E6E39" w:rsidP="000E6E39">
      <w:pPr>
        <w:pStyle w:val="Default"/>
        <w:jc w:val="both"/>
        <w:rPr>
          <w:rFonts w:ascii="Tahoma" w:hAnsi="Tahoma" w:cs="Tahoma"/>
          <w:sz w:val="22"/>
          <w:szCs w:val="22"/>
          <w:lang w:val="en-US"/>
        </w:rPr>
      </w:pPr>
    </w:p>
    <w:p w:rsidR="00DE7EFE" w:rsidRPr="00BA5143" w:rsidRDefault="00DE7EFE" w:rsidP="00DE7EFE">
      <w:pPr>
        <w:pStyle w:val="Default"/>
        <w:ind w:firstLine="567"/>
        <w:jc w:val="both"/>
        <w:rPr>
          <w:lang w:val="en-US"/>
        </w:rPr>
      </w:pPr>
      <w:r w:rsidRPr="00BA5143">
        <w:rPr>
          <w:lang w:val="en-US"/>
        </w:rPr>
        <w:t xml:space="preserve">The Bank considers three general economic scenarios - optimistic, realistic and crisis. The probability of implementing each economic scenario is determined taking into account the available information (relative to the macroeconomic indicators, the general economic and political situation in the country, etc.), the presence of which affects the probability of </w:t>
      </w:r>
      <w:r w:rsidRPr="00BA5143">
        <w:rPr>
          <w:lang w:val="en-US"/>
        </w:rPr>
        <w:lastRenderedPageBreak/>
        <w:t>occurrence of a certain scenario. Within the framework of general economic scenarios, the Bank forecasts the following standard scenarios of the borrower's behavior and methods of repayment of credit indebtedness:</w:t>
      </w:r>
    </w:p>
    <w:p w:rsidR="00DE7EFE" w:rsidRPr="00BA5143" w:rsidRDefault="00DE7EFE" w:rsidP="00DE7EFE">
      <w:pPr>
        <w:pStyle w:val="Default"/>
        <w:ind w:firstLine="567"/>
        <w:jc w:val="both"/>
        <w:rPr>
          <w:lang w:val="en-US"/>
        </w:rPr>
      </w:pPr>
      <w:r w:rsidRPr="00BA5143">
        <w:rPr>
          <w:lang w:val="en-US"/>
        </w:rPr>
        <w:t>- independent repayment of credit indebtedness according to the current schedule;</w:t>
      </w:r>
    </w:p>
    <w:p w:rsidR="00DE7EFE" w:rsidRPr="00BA5143" w:rsidRDefault="00DE7EFE" w:rsidP="00DE7EFE">
      <w:pPr>
        <w:pStyle w:val="Default"/>
        <w:ind w:firstLine="567"/>
        <w:jc w:val="both"/>
        <w:rPr>
          <w:lang w:val="en-US"/>
        </w:rPr>
      </w:pPr>
      <w:r w:rsidRPr="00BA5143">
        <w:rPr>
          <w:lang w:val="en-US"/>
        </w:rPr>
        <w:t>- independent repayment of credit indebtedness due to debt restructuring;</w:t>
      </w:r>
    </w:p>
    <w:p w:rsidR="00DE7EFE" w:rsidRPr="00BA5143" w:rsidRDefault="00DE7EFE" w:rsidP="00DE7EFE">
      <w:pPr>
        <w:pStyle w:val="Default"/>
        <w:ind w:firstLine="567"/>
        <w:jc w:val="both"/>
        <w:rPr>
          <w:lang w:val="en-US"/>
        </w:rPr>
      </w:pPr>
      <w:r w:rsidRPr="00BA5143">
        <w:rPr>
          <w:lang w:val="en-US"/>
        </w:rPr>
        <w:t>- repayment of the borrower's credit debt due to the implementation of collateral for this loan;</w:t>
      </w:r>
    </w:p>
    <w:p w:rsidR="00DE7EFE" w:rsidRPr="00BA5143" w:rsidRDefault="00DE7EFE" w:rsidP="00DE7EFE">
      <w:pPr>
        <w:pStyle w:val="Default"/>
        <w:ind w:firstLine="567"/>
        <w:jc w:val="both"/>
        <w:rPr>
          <w:lang w:val="en-US"/>
        </w:rPr>
      </w:pPr>
      <w:r w:rsidRPr="00BA5143">
        <w:rPr>
          <w:lang w:val="en-US"/>
        </w:rPr>
        <w:t>- sale of a borrower's credit debt or refinancing it by a third party;</w:t>
      </w:r>
    </w:p>
    <w:p w:rsidR="00596D30" w:rsidRPr="00BA5143" w:rsidRDefault="00DE7EFE" w:rsidP="00DE7EFE">
      <w:pPr>
        <w:pStyle w:val="Default"/>
        <w:ind w:firstLine="567"/>
        <w:jc w:val="both"/>
        <w:rPr>
          <w:lang w:val="en-US"/>
        </w:rPr>
      </w:pPr>
      <w:r w:rsidRPr="00BA5143">
        <w:rPr>
          <w:lang w:val="en-US"/>
        </w:rPr>
        <w:t>- debt write-off of the borrower through the formation of reserves in the full amount of the arrears.</w:t>
      </w:r>
    </w:p>
    <w:p w:rsidR="00DE7EFE" w:rsidRPr="00BA5143" w:rsidRDefault="00DE7EFE" w:rsidP="00DE7EFE">
      <w:pPr>
        <w:pStyle w:val="Default"/>
        <w:ind w:firstLine="567"/>
        <w:jc w:val="both"/>
        <w:rPr>
          <w:lang w:val="en-US"/>
        </w:rPr>
      </w:pPr>
    </w:p>
    <w:p w:rsidR="00DE7EFE" w:rsidRPr="00BA5143" w:rsidRDefault="00DE7EFE" w:rsidP="00347F1A">
      <w:pPr>
        <w:ind w:firstLine="567"/>
        <w:jc w:val="both"/>
        <w:rPr>
          <w:u w:val="single"/>
          <w:lang w:val="en-US"/>
        </w:rPr>
      </w:pPr>
      <w:r w:rsidRPr="00BA5143">
        <w:rPr>
          <w:u w:val="single"/>
          <w:lang w:val="en-US"/>
        </w:rPr>
        <w:t>The procedure for taking into account the forecast macroeconomic information in determining the expected credit losses</w:t>
      </w:r>
    </w:p>
    <w:p w:rsidR="00E730D7" w:rsidRPr="00BA5143" w:rsidRDefault="00E730D7" w:rsidP="00E730D7">
      <w:pPr>
        <w:pStyle w:val="Default"/>
        <w:ind w:firstLine="567"/>
        <w:jc w:val="both"/>
        <w:rPr>
          <w:color w:val="auto"/>
          <w:lang w:val="en-US" w:eastAsia="ru-RU"/>
        </w:rPr>
      </w:pPr>
      <w:r w:rsidRPr="00BA5143">
        <w:rPr>
          <w:color w:val="auto"/>
          <w:lang w:val="en-US" w:eastAsia="ru-RU"/>
        </w:rPr>
        <w:t xml:space="preserve">The information used by the Bank to determine the likelihood of implementation of various macroeconomic scenarios is the prognostic and current information (at the time of determination) disclosed by the National Bank of Ukraine and other official sources (the same information is used by the Bank in developing the Bank's Development Strategy), </w:t>
      </w:r>
      <w:r w:rsidR="00201937" w:rsidRPr="00BA5143">
        <w:rPr>
          <w:color w:val="auto"/>
          <w:lang w:val="en-US" w:eastAsia="ru-RU"/>
        </w:rPr>
        <w:t>namely:</w:t>
      </w:r>
    </w:p>
    <w:p w:rsidR="00E730D7" w:rsidRPr="00BA5143" w:rsidRDefault="00E730D7" w:rsidP="00E730D7">
      <w:pPr>
        <w:pStyle w:val="Default"/>
        <w:ind w:firstLine="567"/>
        <w:jc w:val="both"/>
        <w:rPr>
          <w:color w:val="auto"/>
          <w:lang w:val="en-US" w:eastAsia="ru-RU"/>
        </w:rPr>
      </w:pPr>
      <w:r w:rsidRPr="00BA5143">
        <w:rPr>
          <w:color w:val="auto"/>
          <w:lang w:val="en-US" w:eastAsia="ru-RU"/>
        </w:rPr>
        <w:t>- the discount rate of the National Bank;</w:t>
      </w:r>
    </w:p>
    <w:p w:rsidR="00E730D7" w:rsidRPr="00BA5143" w:rsidRDefault="00E730D7" w:rsidP="00E730D7">
      <w:pPr>
        <w:pStyle w:val="Default"/>
        <w:ind w:firstLine="567"/>
        <w:jc w:val="both"/>
        <w:rPr>
          <w:color w:val="auto"/>
          <w:lang w:val="en-US" w:eastAsia="ru-RU"/>
        </w:rPr>
      </w:pPr>
      <w:r w:rsidRPr="00BA5143">
        <w:rPr>
          <w:color w:val="auto"/>
          <w:lang w:val="en-US" w:eastAsia="ru-RU"/>
        </w:rPr>
        <w:t>- official exchange rate of hryvnia to foreign currencies;</w:t>
      </w:r>
    </w:p>
    <w:p w:rsidR="00E730D7" w:rsidRPr="00BA5143" w:rsidRDefault="00E730D7" w:rsidP="00E730D7">
      <w:pPr>
        <w:pStyle w:val="Default"/>
        <w:ind w:firstLine="567"/>
        <w:jc w:val="both"/>
        <w:rPr>
          <w:color w:val="auto"/>
          <w:lang w:val="en-US" w:eastAsia="ru-RU"/>
        </w:rPr>
      </w:pPr>
      <w:r w:rsidRPr="00BA5143">
        <w:rPr>
          <w:color w:val="auto"/>
          <w:lang w:val="en-US" w:eastAsia="ru-RU"/>
        </w:rPr>
        <w:t>- index of inflation;</w:t>
      </w:r>
    </w:p>
    <w:p w:rsidR="00E730D7" w:rsidRPr="00BA5143" w:rsidRDefault="00E730D7" w:rsidP="00E730D7">
      <w:pPr>
        <w:pStyle w:val="Default"/>
        <w:ind w:firstLine="567"/>
        <w:jc w:val="both"/>
        <w:rPr>
          <w:color w:val="auto"/>
          <w:lang w:val="en-US" w:eastAsia="ru-RU"/>
        </w:rPr>
      </w:pPr>
      <w:r w:rsidRPr="00BA5143">
        <w:rPr>
          <w:color w:val="auto"/>
          <w:lang w:val="en-US" w:eastAsia="ru-RU"/>
        </w:rPr>
        <w:t>- the size of the gross domestic product;</w:t>
      </w:r>
    </w:p>
    <w:p w:rsidR="00E730D7" w:rsidRPr="00BA5143" w:rsidRDefault="00E730D7" w:rsidP="00E730D7">
      <w:pPr>
        <w:pStyle w:val="Default"/>
        <w:ind w:firstLine="567"/>
        <w:jc w:val="both"/>
        <w:rPr>
          <w:color w:val="auto"/>
          <w:lang w:val="en-US" w:eastAsia="ru-RU"/>
        </w:rPr>
      </w:pPr>
      <w:r w:rsidRPr="00BA5143">
        <w:rPr>
          <w:color w:val="auto"/>
          <w:lang w:val="en-US" w:eastAsia="ru-RU"/>
        </w:rPr>
        <w:t>- index of consumer prices and producer prices;</w:t>
      </w:r>
    </w:p>
    <w:p w:rsidR="00E730D7" w:rsidRPr="00BA5143" w:rsidRDefault="00E730D7" w:rsidP="00E730D7">
      <w:pPr>
        <w:pStyle w:val="Default"/>
        <w:ind w:firstLine="567"/>
        <w:jc w:val="both"/>
        <w:rPr>
          <w:color w:val="auto"/>
          <w:lang w:val="en-US" w:eastAsia="ru-RU"/>
        </w:rPr>
      </w:pPr>
      <w:r w:rsidRPr="00BA5143">
        <w:rPr>
          <w:color w:val="auto"/>
          <w:lang w:val="en-US" w:eastAsia="ru-RU"/>
        </w:rPr>
        <w:t>- unemployment rate;</w:t>
      </w:r>
    </w:p>
    <w:p w:rsidR="00E730D7" w:rsidRPr="00BA5143" w:rsidRDefault="00E730D7" w:rsidP="00E730D7">
      <w:pPr>
        <w:pStyle w:val="Default"/>
        <w:ind w:firstLine="567"/>
        <w:jc w:val="both"/>
        <w:rPr>
          <w:color w:val="auto"/>
          <w:lang w:val="en-US" w:eastAsia="ru-RU"/>
        </w:rPr>
      </w:pPr>
      <w:r w:rsidRPr="00BA5143">
        <w:rPr>
          <w:color w:val="auto"/>
          <w:lang w:val="en-US" w:eastAsia="ru-RU"/>
        </w:rPr>
        <w:t>- average salary;</w:t>
      </w:r>
    </w:p>
    <w:p w:rsidR="00E730D7" w:rsidRPr="00BA5143" w:rsidRDefault="00E730D7" w:rsidP="00E730D7">
      <w:pPr>
        <w:pStyle w:val="Default"/>
        <w:ind w:firstLine="567"/>
        <w:jc w:val="both"/>
        <w:rPr>
          <w:color w:val="auto"/>
          <w:lang w:val="en-US" w:eastAsia="ru-RU"/>
        </w:rPr>
      </w:pPr>
      <w:r w:rsidRPr="00BA5143">
        <w:rPr>
          <w:color w:val="auto"/>
          <w:lang w:val="en-US" w:eastAsia="ru-RU"/>
        </w:rPr>
        <w:t>- prices for key goods exported from Ukraine and imported to Ukraine.</w:t>
      </w:r>
    </w:p>
    <w:p w:rsidR="00E730D7" w:rsidRPr="00BA5143" w:rsidRDefault="00E730D7" w:rsidP="00E730D7">
      <w:pPr>
        <w:pStyle w:val="Default"/>
        <w:ind w:firstLine="567"/>
        <w:jc w:val="both"/>
        <w:rPr>
          <w:color w:val="auto"/>
          <w:lang w:val="en-US" w:eastAsia="ru-RU"/>
        </w:rPr>
      </w:pPr>
      <w:r w:rsidRPr="00BA5143">
        <w:rPr>
          <w:color w:val="auto"/>
          <w:lang w:val="en-US" w:eastAsia="ru-RU"/>
        </w:rPr>
        <w:t>Annually, at the beginning of the year, this information is being processed by the Risk Management Department and, by expert evaluation, the probability of realization of each of the possible general economic scenarios - optimistic, realistic and crisis - for the current year is established. The determined indicators of the probability of realization of all general economic scenarios are approved by the decisions of KURAP and are valid throughout the year. Indicators are reviewed annually or in case of significant changes in macroeconomic indicators.</w:t>
      </w:r>
    </w:p>
    <w:p w:rsidR="00E730D7" w:rsidRPr="00BA5143" w:rsidRDefault="00E730D7" w:rsidP="00E730D7">
      <w:pPr>
        <w:ind w:firstLine="567"/>
        <w:jc w:val="both"/>
        <w:rPr>
          <w:color w:val="000000"/>
          <w:lang w:val="en-US" w:eastAsia="en-US"/>
        </w:rPr>
      </w:pPr>
      <w:r w:rsidRPr="00BA5143">
        <w:rPr>
          <w:color w:val="000000"/>
          <w:lang w:val="en-US" w:eastAsia="en-US"/>
        </w:rPr>
        <w:t>The Bank uses two approaches to the reservation: group and individual. The group approach applies a portfolio-based assessment. Used for financial instruments that have one of the following features:</w:t>
      </w:r>
    </w:p>
    <w:p w:rsidR="00E730D7" w:rsidRPr="00BA5143" w:rsidRDefault="00E730D7" w:rsidP="00E730D7">
      <w:pPr>
        <w:ind w:firstLine="567"/>
        <w:jc w:val="both"/>
        <w:rPr>
          <w:color w:val="000000"/>
          <w:lang w:val="en-US" w:eastAsia="en-US"/>
        </w:rPr>
      </w:pPr>
      <w:r w:rsidRPr="00BA5143">
        <w:rPr>
          <w:color w:val="000000"/>
          <w:lang w:val="en-US" w:eastAsia="en-US"/>
        </w:rPr>
        <w:t>• are not considered significant - less than 10% of the regulatory capital of the Bank;</w:t>
      </w:r>
    </w:p>
    <w:p w:rsidR="00E730D7" w:rsidRPr="00BA5143" w:rsidRDefault="00E730D7" w:rsidP="00E730D7">
      <w:pPr>
        <w:ind w:firstLine="567"/>
        <w:jc w:val="both"/>
        <w:rPr>
          <w:color w:val="000000"/>
          <w:lang w:val="en-US" w:eastAsia="en-US"/>
        </w:rPr>
      </w:pPr>
      <w:r w:rsidRPr="00BA5143">
        <w:rPr>
          <w:color w:val="000000"/>
          <w:lang w:val="en-US" w:eastAsia="en-US"/>
        </w:rPr>
        <w:t>• there was no significant increase in credit risk.</w:t>
      </w:r>
    </w:p>
    <w:p w:rsidR="00E730D7" w:rsidRPr="00BA5143" w:rsidRDefault="00E730D7" w:rsidP="00E730D7">
      <w:pPr>
        <w:ind w:firstLine="567"/>
        <w:jc w:val="both"/>
        <w:rPr>
          <w:color w:val="000000"/>
          <w:lang w:val="en-US" w:eastAsia="en-US"/>
        </w:rPr>
      </w:pPr>
      <w:r w:rsidRPr="00BA5143">
        <w:rPr>
          <w:color w:val="000000"/>
          <w:lang w:val="en-US" w:eastAsia="en-US"/>
        </w:rPr>
        <w:t>An individual approach applies a client-level assessment. Used for financial instruments that have one of the following features:</w:t>
      </w:r>
    </w:p>
    <w:p w:rsidR="00E730D7" w:rsidRPr="00BA5143" w:rsidRDefault="00E730D7" w:rsidP="00E730D7">
      <w:pPr>
        <w:ind w:firstLine="567"/>
        <w:jc w:val="both"/>
        <w:rPr>
          <w:color w:val="000000"/>
          <w:lang w:val="en-US" w:eastAsia="en-US"/>
        </w:rPr>
      </w:pPr>
      <w:r w:rsidRPr="00BA5143">
        <w:rPr>
          <w:color w:val="000000"/>
          <w:lang w:val="en-US" w:eastAsia="en-US"/>
        </w:rPr>
        <w:t>• considered significant - more than 10% of the regulatory capital of the Bank;</w:t>
      </w:r>
    </w:p>
    <w:p w:rsidR="00510398" w:rsidRPr="00BA5143" w:rsidRDefault="00E730D7" w:rsidP="00E730D7">
      <w:pPr>
        <w:ind w:firstLine="567"/>
        <w:jc w:val="both"/>
        <w:rPr>
          <w:color w:val="000000"/>
          <w:lang w:val="en-US" w:eastAsia="en-US"/>
        </w:rPr>
      </w:pPr>
      <w:r w:rsidRPr="00BA5143">
        <w:rPr>
          <w:color w:val="000000"/>
          <w:lang w:val="en-US" w:eastAsia="en-US"/>
        </w:rPr>
        <w:t>• significant increases in credit risk or default indicators.</w:t>
      </w:r>
    </w:p>
    <w:p w:rsidR="00E730D7" w:rsidRPr="00BA5143" w:rsidRDefault="00E730D7" w:rsidP="00E730D7">
      <w:pPr>
        <w:ind w:firstLine="567"/>
        <w:jc w:val="both"/>
        <w:rPr>
          <w:bCs/>
          <w:lang w:val="en-US"/>
        </w:rPr>
      </w:pPr>
    </w:p>
    <w:p w:rsidR="00E730D7" w:rsidRPr="00BA5143" w:rsidRDefault="00E730D7" w:rsidP="00E730D7">
      <w:pPr>
        <w:ind w:firstLine="567"/>
        <w:jc w:val="both"/>
        <w:rPr>
          <w:bCs/>
          <w:lang w:val="en-US"/>
        </w:rPr>
      </w:pPr>
      <w:r w:rsidRPr="00BA5143">
        <w:rPr>
          <w:bCs/>
          <w:lang w:val="en-US"/>
        </w:rPr>
        <w:t>To measure impairment and the formation of a provision for trade receivables and receivables that are a financial asset (hereinafter - financial receivables), for which the maturity under the terms of the agreement does not exceed three months, the Bank applies a simplified approach. This approach involves simplifying the calculation of credit risks for the above-mentioned arrears using the matrix of provisions recognized in liabilities, according to which the Bank does not track changes in credit risk.</w:t>
      </w:r>
    </w:p>
    <w:p w:rsidR="00E730D7" w:rsidRPr="00BA5143" w:rsidRDefault="00E730D7" w:rsidP="00E730D7">
      <w:pPr>
        <w:ind w:firstLine="567"/>
        <w:jc w:val="both"/>
        <w:rPr>
          <w:bCs/>
          <w:lang w:val="en-US"/>
        </w:rPr>
      </w:pPr>
      <w:r w:rsidRPr="00BA5143">
        <w:rPr>
          <w:bCs/>
          <w:lang w:val="en-US"/>
        </w:rPr>
        <w:t>The procedure for assessing the impairment of receivables from economic operations for a simplified approach is based on the assertions that:</w:t>
      </w:r>
    </w:p>
    <w:p w:rsidR="00E730D7" w:rsidRPr="00BA5143" w:rsidRDefault="00E730D7" w:rsidP="00E730D7">
      <w:pPr>
        <w:ind w:firstLine="567"/>
        <w:jc w:val="both"/>
        <w:rPr>
          <w:bCs/>
          <w:lang w:val="en-US"/>
        </w:rPr>
      </w:pPr>
      <w:r w:rsidRPr="00BA5143">
        <w:rPr>
          <w:bCs/>
          <w:lang w:val="en-US"/>
        </w:rPr>
        <w:t>- the instrument "accounts receivable" does not include a significant component of financing;</w:t>
      </w:r>
    </w:p>
    <w:p w:rsidR="00E730D7" w:rsidRPr="00BA5143" w:rsidRDefault="00E730D7" w:rsidP="00E730D7">
      <w:pPr>
        <w:ind w:firstLine="567"/>
        <w:jc w:val="both"/>
        <w:rPr>
          <w:bCs/>
          <w:lang w:val="en-US"/>
        </w:rPr>
      </w:pPr>
      <w:r w:rsidRPr="00BA5143">
        <w:rPr>
          <w:bCs/>
          <w:lang w:val="en-US"/>
        </w:rPr>
        <w:lastRenderedPageBreak/>
        <w:t>- the difference in time between receipt of the goods or services from the seller and payment of such goods is one year or less.</w:t>
      </w:r>
    </w:p>
    <w:p w:rsidR="00E730D7" w:rsidRPr="00BA5143" w:rsidRDefault="00E730D7" w:rsidP="00E730D7">
      <w:pPr>
        <w:ind w:firstLine="567"/>
        <w:jc w:val="both"/>
        <w:rPr>
          <w:bCs/>
          <w:lang w:val="en-US"/>
        </w:rPr>
      </w:pPr>
    </w:p>
    <w:p w:rsidR="00E730D7" w:rsidRPr="00BA5143" w:rsidRDefault="00E730D7" w:rsidP="00E730D7">
      <w:pPr>
        <w:ind w:firstLine="540"/>
        <w:jc w:val="both"/>
        <w:rPr>
          <w:lang w:val="en-US"/>
        </w:rPr>
      </w:pPr>
      <w:r w:rsidRPr="00BA5143">
        <w:rPr>
          <w:lang w:val="en-US"/>
        </w:rPr>
        <w:t>Asset provisions are special (valuation) reserves that reduce the carrying amount of assets and the need for formation of which is caused by a decrease in usefulness.</w:t>
      </w:r>
    </w:p>
    <w:p w:rsidR="00E730D7" w:rsidRPr="00BA5143" w:rsidRDefault="00E730D7" w:rsidP="00E730D7">
      <w:pPr>
        <w:ind w:firstLine="540"/>
        <w:jc w:val="both"/>
        <w:rPr>
          <w:lang w:val="en-US"/>
        </w:rPr>
      </w:pPr>
      <w:r w:rsidRPr="00BA5143">
        <w:rPr>
          <w:lang w:val="en-US"/>
        </w:rPr>
        <w:t>In the financial statements, the provisions for active operations are shown as follows:</w:t>
      </w:r>
    </w:p>
    <w:p w:rsidR="00E730D7" w:rsidRPr="00BA5143" w:rsidRDefault="00E730D7" w:rsidP="00E730D7">
      <w:pPr>
        <w:ind w:firstLine="540"/>
        <w:jc w:val="both"/>
        <w:rPr>
          <w:lang w:val="en-US"/>
        </w:rPr>
      </w:pPr>
      <w:r w:rsidRPr="00BA5143">
        <w:rPr>
          <w:lang w:val="en-US"/>
        </w:rPr>
        <w:t>- in the Report on the financial condition of the bank - in the book value of the respective assets;</w:t>
      </w:r>
    </w:p>
    <w:p w:rsidR="00E730D7" w:rsidRPr="00BA5143" w:rsidRDefault="00E730D7" w:rsidP="00E730D7">
      <w:pPr>
        <w:ind w:firstLine="540"/>
        <w:jc w:val="both"/>
        <w:rPr>
          <w:lang w:val="en-US"/>
        </w:rPr>
      </w:pPr>
      <w:r w:rsidRPr="00BA5143">
        <w:rPr>
          <w:lang w:val="en-US"/>
        </w:rPr>
        <w:t xml:space="preserve">- in the Profit and Loss Statement - in the form of net </w:t>
      </w:r>
      <w:r w:rsidR="003F5028" w:rsidRPr="00BA5143">
        <w:rPr>
          <w:lang w:val="en-US"/>
        </w:rPr>
        <w:t>profit</w:t>
      </w:r>
      <w:r w:rsidRPr="00BA5143">
        <w:rPr>
          <w:lang w:val="en-US"/>
        </w:rPr>
        <w:t xml:space="preserve"> / loss from increase / decrease in provisions for impairment of financial assets, accounts receivable and other financial assets.</w:t>
      </w:r>
    </w:p>
    <w:p w:rsidR="00E730D7" w:rsidRPr="00BA5143" w:rsidRDefault="00E730D7" w:rsidP="00E730D7">
      <w:pPr>
        <w:ind w:firstLine="540"/>
        <w:jc w:val="both"/>
        <w:rPr>
          <w:lang w:val="en-US"/>
        </w:rPr>
      </w:pPr>
    </w:p>
    <w:p w:rsidR="00E730D7" w:rsidRPr="00BA5143" w:rsidRDefault="00E730D7" w:rsidP="00E730D7">
      <w:pPr>
        <w:ind w:firstLine="540"/>
        <w:jc w:val="both"/>
        <w:rPr>
          <w:lang w:val="en-US"/>
        </w:rPr>
      </w:pPr>
      <w:r w:rsidRPr="00BA5143">
        <w:rPr>
          <w:lang w:val="en-US"/>
        </w:rPr>
        <w:t>Depreciated financial assets are reimbursed (written off) by the Bank at the expense of the established insurance reserve. The decision on reimbursement (write-off) on account of the created reserve of depreciated financial assets under the principal debt and accrued interest / commissions is taken by the Board of the Bank upon submission of the Credit Committee.</w:t>
      </w:r>
    </w:p>
    <w:p w:rsidR="00E730D7" w:rsidRPr="00BA5143" w:rsidRDefault="00E730D7" w:rsidP="00E730D7">
      <w:pPr>
        <w:ind w:firstLine="540"/>
        <w:jc w:val="both"/>
        <w:rPr>
          <w:lang w:val="en-US"/>
        </w:rPr>
      </w:pPr>
      <w:r w:rsidRPr="00BA5143">
        <w:rPr>
          <w:lang w:val="en-US"/>
        </w:rPr>
        <w:t>Debt write-offs and interest accrued on them are not grounds for termination of the Bank's claims to the borrower. During the period, the Bank, in accordance with the legislation of Ukraine, continues to work on the reimbursement of write-off due to the provision for bad debts. In the reporting period, there was no recovery of assets due to the creation of an insurance reserve.</w:t>
      </w:r>
    </w:p>
    <w:p w:rsidR="00E730D7" w:rsidRPr="00BA5143" w:rsidRDefault="00E730D7" w:rsidP="00E730D7">
      <w:pPr>
        <w:ind w:firstLine="540"/>
        <w:jc w:val="both"/>
        <w:rPr>
          <w:lang w:val="en-US"/>
        </w:rPr>
      </w:pPr>
    </w:p>
    <w:p w:rsidR="003F5028" w:rsidRPr="00BA5143" w:rsidRDefault="003F5028" w:rsidP="00684E54">
      <w:pPr>
        <w:ind w:firstLine="540"/>
        <w:jc w:val="both"/>
        <w:rPr>
          <w:b/>
          <w:i/>
          <w:lang w:val="en-US"/>
        </w:rPr>
      </w:pPr>
      <w:r w:rsidRPr="00BA5143">
        <w:rPr>
          <w:b/>
          <w:i/>
          <w:lang w:val="en-US"/>
        </w:rPr>
        <w:t>4.5. Termination of recognition of financial instruments</w:t>
      </w:r>
    </w:p>
    <w:p w:rsidR="003F5028" w:rsidRPr="00BA5143" w:rsidRDefault="003F5028" w:rsidP="00684E54">
      <w:pPr>
        <w:ind w:firstLine="540"/>
        <w:jc w:val="both"/>
        <w:rPr>
          <w:b/>
          <w:i/>
          <w:lang w:val="en-US"/>
        </w:rPr>
      </w:pPr>
    </w:p>
    <w:p w:rsidR="003F5028" w:rsidRPr="00BA5143" w:rsidRDefault="003F5028" w:rsidP="003F5028">
      <w:pPr>
        <w:ind w:firstLine="540"/>
        <w:jc w:val="both"/>
        <w:rPr>
          <w:lang w:val="en-US"/>
        </w:rPr>
      </w:pPr>
      <w:r w:rsidRPr="00BA5143">
        <w:rPr>
          <w:lang w:val="en-US"/>
        </w:rPr>
        <w:t>The Bank ceases to recognize a financial asset or group of financial assets (hereinafter referred to as a financial asset) if:</w:t>
      </w:r>
    </w:p>
    <w:p w:rsidR="003F5028" w:rsidRPr="00BA5143" w:rsidRDefault="003F5028" w:rsidP="003F5028">
      <w:pPr>
        <w:ind w:firstLine="540"/>
        <w:jc w:val="both"/>
        <w:rPr>
          <w:lang w:val="en-US"/>
        </w:rPr>
      </w:pPr>
      <w:r w:rsidRPr="00BA5143">
        <w:rPr>
          <w:lang w:val="en-US"/>
        </w:rPr>
        <w:t>a) the term of the rights to cash flows from a financial asset, as determined by the terms of the contract, expires;</w:t>
      </w:r>
    </w:p>
    <w:p w:rsidR="003F5028" w:rsidRPr="00BA5143" w:rsidRDefault="003F5028" w:rsidP="003F5028">
      <w:pPr>
        <w:ind w:firstLine="540"/>
        <w:jc w:val="both"/>
        <w:rPr>
          <w:lang w:val="en-US"/>
        </w:rPr>
      </w:pPr>
      <w:r w:rsidRPr="00BA5143">
        <w:rPr>
          <w:lang w:val="en-US"/>
        </w:rPr>
        <w:t>b) the transfer of a financial asset meets the criteria for termination of recognition.</w:t>
      </w:r>
    </w:p>
    <w:p w:rsidR="003F5028" w:rsidRPr="00BA5143" w:rsidRDefault="003F5028" w:rsidP="003F5028">
      <w:pPr>
        <w:ind w:firstLine="540"/>
        <w:jc w:val="both"/>
        <w:rPr>
          <w:lang w:val="en-US"/>
        </w:rPr>
      </w:pPr>
      <w:r w:rsidRPr="00BA5143">
        <w:rPr>
          <w:lang w:val="en-US"/>
        </w:rPr>
        <w:t>The Bank transfers a financial asset if one of the following conditions is met:</w:t>
      </w:r>
    </w:p>
    <w:p w:rsidR="003F5028" w:rsidRPr="00BA5143" w:rsidRDefault="003F5028" w:rsidP="003F5028">
      <w:pPr>
        <w:ind w:firstLine="540"/>
        <w:jc w:val="both"/>
        <w:rPr>
          <w:lang w:val="en-US"/>
        </w:rPr>
      </w:pPr>
      <w:r w:rsidRPr="00BA5143">
        <w:rPr>
          <w:lang w:val="en-US"/>
        </w:rPr>
        <w:t>the bank transfers the rights to receive cash flows from the financial asset, which are stipulated by the agreement;</w:t>
      </w:r>
    </w:p>
    <w:p w:rsidR="003F5028" w:rsidRPr="00BA5143" w:rsidRDefault="003F5028" w:rsidP="003F5028">
      <w:pPr>
        <w:ind w:firstLine="540"/>
        <w:jc w:val="both"/>
        <w:rPr>
          <w:lang w:val="en-US"/>
        </w:rPr>
      </w:pPr>
      <w:r w:rsidRPr="00BA5143">
        <w:rPr>
          <w:lang w:val="en-US"/>
        </w:rPr>
        <w:t>the bank retains the rights to receive cash flows from a financial asset provided for by the transfer agreement, but undertakes to pay cash flows to one or more recipients under an agreement that meets the following conditions:</w:t>
      </w:r>
    </w:p>
    <w:p w:rsidR="003F5028" w:rsidRPr="00BA5143" w:rsidRDefault="003F5028" w:rsidP="003F5028">
      <w:pPr>
        <w:ind w:firstLine="540"/>
        <w:jc w:val="both"/>
        <w:rPr>
          <w:lang w:val="en-US"/>
        </w:rPr>
      </w:pPr>
      <w:r w:rsidRPr="00BA5143">
        <w:rPr>
          <w:lang w:val="en-US"/>
        </w:rPr>
        <w:t>a) the bank has no obligation to pay the amounts to final buyers until the receipt of equivalent amounts from the original asset;</w:t>
      </w:r>
    </w:p>
    <w:p w:rsidR="003F5028" w:rsidRPr="00BA5143" w:rsidRDefault="003F5028" w:rsidP="003F5028">
      <w:pPr>
        <w:ind w:firstLine="540"/>
        <w:jc w:val="both"/>
        <w:rPr>
          <w:lang w:val="en-US"/>
        </w:rPr>
      </w:pPr>
      <w:r w:rsidRPr="00BA5143">
        <w:rPr>
          <w:lang w:val="en-US"/>
        </w:rPr>
        <w:t>b) the terms of the agreement prohibit the bank from selling or pledging an original financial asset, except for its transfer to the final beneficiaries as a provision for the obligation to pay cash flows;</w:t>
      </w:r>
    </w:p>
    <w:p w:rsidR="003F5028" w:rsidRPr="00BA5143" w:rsidRDefault="003F5028" w:rsidP="003F5028">
      <w:pPr>
        <w:ind w:firstLine="540"/>
        <w:jc w:val="both"/>
        <w:rPr>
          <w:lang w:val="en-US"/>
        </w:rPr>
      </w:pPr>
      <w:r w:rsidRPr="00BA5143">
        <w:rPr>
          <w:lang w:val="en-US"/>
        </w:rPr>
        <w:t>c) the bank has an obligation to transfer any cash flows that it collects on behalf of the final recipients without significant delay. In addition, the Bank does not have the right to reinvest such cash flows, except for investments in cash or cash equivalents (as defined in IFRS 7 Cash Flow Statements) during a short maturity from the date of collection to the date of the required transfer to the final beneficiaries. Interest on such investments is passed on to final recipients.</w:t>
      </w:r>
    </w:p>
    <w:p w:rsidR="003F5028" w:rsidRPr="00BA5143" w:rsidRDefault="003F5028" w:rsidP="003F5028">
      <w:pPr>
        <w:ind w:firstLine="540"/>
        <w:jc w:val="both"/>
        <w:rPr>
          <w:lang w:val="en-US"/>
        </w:rPr>
      </w:pPr>
      <w:r w:rsidRPr="00BA5143">
        <w:rPr>
          <w:lang w:val="en-US"/>
        </w:rPr>
        <w:t>The Bank assesses the limits in which it retains all risks and rewards of ownership of an asset when it transmits a financial asset, taking into account the following:</w:t>
      </w:r>
    </w:p>
    <w:p w:rsidR="003F5028" w:rsidRPr="00BA5143" w:rsidRDefault="003F5028" w:rsidP="003F5028">
      <w:pPr>
        <w:ind w:firstLine="540"/>
        <w:jc w:val="both"/>
        <w:rPr>
          <w:lang w:val="en-US"/>
        </w:rPr>
      </w:pPr>
      <w:r w:rsidRPr="00BA5143">
        <w:rPr>
          <w:lang w:val="en-US"/>
        </w:rPr>
        <w:t>a) if the bank transfers substantially all the risks and rewards of ownership of the financial asset, it must cease recognition of the financial asset and recognize the rights and obligations created or retained during the transfer, separately as an asset or liability;</w:t>
      </w:r>
    </w:p>
    <w:p w:rsidR="003F5028" w:rsidRPr="00BA5143" w:rsidRDefault="003F5028" w:rsidP="003F5028">
      <w:pPr>
        <w:ind w:firstLine="540"/>
        <w:jc w:val="both"/>
        <w:rPr>
          <w:lang w:val="en-US"/>
        </w:rPr>
      </w:pPr>
      <w:r w:rsidRPr="00BA5143">
        <w:rPr>
          <w:lang w:val="en-US"/>
        </w:rPr>
        <w:t>b) if the bank retains basically all the risks and rewards of ownership of the financial asset, then it continues to recognize the financial asset;</w:t>
      </w:r>
    </w:p>
    <w:p w:rsidR="003F5028" w:rsidRPr="00BA5143" w:rsidRDefault="003F5028" w:rsidP="003F5028">
      <w:pPr>
        <w:ind w:firstLine="540"/>
        <w:jc w:val="both"/>
        <w:rPr>
          <w:lang w:val="en-US"/>
        </w:rPr>
      </w:pPr>
      <w:r w:rsidRPr="00BA5143">
        <w:rPr>
          <w:lang w:val="en-US"/>
        </w:rPr>
        <w:lastRenderedPageBreak/>
        <w:t>c) if the bank does not transfer, does not preserve substantially all the risks and rewards of ownership of the financial asset, it determines whether the control over the financial asset is maintained.</w:t>
      </w:r>
    </w:p>
    <w:p w:rsidR="003F5028" w:rsidRPr="00BA5143" w:rsidRDefault="003F5028" w:rsidP="003F5028">
      <w:pPr>
        <w:ind w:firstLine="540"/>
        <w:jc w:val="both"/>
        <w:rPr>
          <w:lang w:val="en-US"/>
        </w:rPr>
      </w:pPr>
      <w:r w:rsidRPr="00BA5143">
        <w:rPr>
          <w:lang w:val="en-US"/>
        </w:rPr>
        <w:t>The Bank does not exercise control over the transferred asset if the party to whom the asset is transferred is in a real position to sell it to an unrelated third party may unilaterally sell this sale without the need to impose additional restrictions on such transfer.</w:t>
      </w:r>
    </w:p>
    <w:p w:rsidR="003F5028" w:rsidRPr="00BA5143" w:rsidRDefault="003F5028" w:rsidP="003F5028">
      <w:pPr>
        <w:ind w:firstLine="540"/>
        <w:jc w:val="both"/>
        <w:rPr>
          <w:lang w:val="en-US"/>
        </w:rPr>
      </w:pPr>
      <w:r w:rsidRPr="00BA5143">
        <w:rPr>
          <w:lang w:val="en-US"/>
        </w:rPr>
        <w:t>If the control over the financial asset is not retained, then the bank ceases to recognize such an asset and recognizes the rights and obligations created or retained during the transfer, separately as an asset or liability. In case of control over a financial asset, the bank continues to recognize the transferred financial asset in the course of its further participation in it.</w:t>
      </w:r>
    </w:p>
    <w:p w:rsidR="003F5028" w:rsidRPr="00BA5143" w:rsidRDefault="003F5028" w:rsidP="003F5028">
      <w:pPr>
        <w:ind w:firstLine="540"/>
        <w:jc w:val="both"/>
        <w:rPr>
          <w:lang w:val="en-US"/>
        </w:rPr>
      </w:pPr>
      <w:r w:rsidRPr="00BA5143">
        <w:rPr>
          <w:lang w:val="en-US"/>
        </w:rPr>
        <w:t>The Bank recognizes the difference between the carrying amount of the financial asset and the amount of compensation received as other operating income or expense in the event of the asset's cessation.</w:t>
      </w:r>
    </w:p>
    <w:p w:rsidR="003F5028" w:rsidRPr="00BA5143" w:rsidRDefault="003F5028" w:rsidP="003F5028">
      <w:pPr>
        <w:ind w:firstLine="540"/>
        <w:jc w:val="both"/>
        <w:rPr>
          <w:lang w:val="en-US"/>
        </w:rPr>
      </w:pPr>
      <w:r w:rsidRPr="00BA5143">
        <w:rPr>
          <w:lang w:val="en-US"/>
        </w:rPr>
        <w:t>The Bank terminates recognition in the balance sheet of a financial liability or part thereof, if such obligation is repaid, canceled or expired.</w:t>
      </w:r>
    </w:p>
    <w:p w:rsidR="003F5028" w:rsidRPr="00BA5143" w:rsidRDefault="003F5028" w:rsidP="003F5028">
      <w:pPr>
        <w:ind w:firstLine="540"/>
        <w:jc w:val="both"/>
        <w:rPr>
          <w:lang w:val="en-US"/>
        </w:rPr>
      </w:pPr>
    </w:p>
    <w:p w:rsidR="002F3BD2" w:rsidRPr="00BA5143" w:rsidRDefault="003F5028" w:rsidP="003F5028">
      <w:pPr>
        <w:ind w:firstLine="540"/>
        <w:jc w:val="both"/>
        <w:rPr>
          <w:b/>
          <w:bCs/>
          <w:lang w:val="en-US"/>
        </w:rPr>
      </w:pPr>
      <w:r w:rsidRPr="00BA5143">
        <w:rPr>
          <w:b/>
          <w:bCs/>
          <w:lang w:val="en-US"/>
        </w:rPr>
        <w:t>4.6. Cash and cash equivalents</w:t>
      </w:r>
    </w:p>
    <w:p w:rsidR="003F5028" w:rsidRPr="00BA5143" w:rsidRDefault="003F5028" w:rsidP="003F5028">
      <w:pPr>
        <w:ind w:firstLine="540"/>
        <w:jc w:val="both"/>
        <w:rPr>
          <w:lang w:val="en-US"/>
        </w:rPr>
      </w:pPr>
    </w:p>
    <w:p w:rsidR="00495FF8" w:rsidRPr="00BA5143" w:rsidRDefault="00C97EFA" w:rsidP="00C97EFA">
      <w:pPr>
        <w:ind w:firstLine="567"/>
        <w:jc w:val="both"/>
        <w:rPr>
          <w:lang w:val="en-US"/>
        </w:rPr>
      </w:pPr>
      <w:r w:rsidRPr="00BA5143">
        <w:rPr>
          <w:lang w:val="en-US"/>
        </w:rPr>
        <w:t>Cash and cash equivalents are assets that can be converted into cash at the first demand, which has a slight risk of changing value. Cash and cash equivalents include cash in the bank's cash desk, balances with the National Bank of Ukraine (with the exception of mandatory reserves and cash for which there are legislative restrictions on the order) and all non-impaired funds placed on the interbank market with original maturity not more than three months.</w:t>
      </w:r>
    </w:p>
    <w:p w:rsidR="00C97EFA" w:rsidRPr="00BA5143" w:rsidRDefault="00C97EFA" w:rsidP="00C97EFA">
      <w:pPr>
        <w:ind w:firstLine="426"/>
        <w:jc w:val="both"/>
        <w:rPr>
          <w:lang w:val="en-US"/>
        </w:rPr>
      </w:pPr>
    </w:p>
    <w:p w:rsidR="00C97EFA" w:rsidRPr="00BA5143" w:rsidRDefault="00C97EFA" w:rsidP="00C97EFA">
      <w:pPr>
        <w:ind w:firstLine="540"/>
        <w:jc w:val="both"/>
        <w:rPr>
          <w:b/>
          <w:iCs/>
          <w:lang w:val="en-US"/>
        </w:rPr>
      </w:pPr>
      <w:r w:rsidRPr="00BA5143">
        <w:rPr>
          <w:b/>
          <w:iCs/>
          <w:lang w:val="en-US"/>
        </w:rPr>
        <w:t>4.7. Mandatory reserves on the accounts of the National Bank of Ukraine</w:t>
      </w:r>
    </w:p>
    <w:p w:rsidR="00C97EFA" w:rsidRPr="00BA5143" w:rsidRDefault="00C97EFA" w:rsidP="00C97EFA">
      <w:pPr>
        <w:ind w:firstLine="540"/>
        <w:jc w:val="both"/>
        <w:rPr>
          <w:b/>
          <w:i/>
          <w:lang w:val="en-US"/>
        </w:rPr>
      </w:pPr>
    </w:p>
    <w:p w:rsidR="00C97EFA" w:rsidRPr="00BA5143" w:rsidRDefault="00C97EFA" w:rsidP="00C97EFA">
      <w:pPr>
        <w:ind w:firstLine="540"/>
        <w:jc w:val="both"/>
        <w:rPr>
          <w:bCs/>
          <w:iCs/>
          <w:lang w:val="en-US"/>
        </w:rPr>
      </w:pPr>
      <w:r w:rsidRPr="00BA5143">
        <w:rPr>
          <w:bCs/>
          <w:iCs/>
          <w:lang w:val="en-US"/>
        </w:rPr>
        <w:t>During the reporting period 2018 and 2017, the Bank did not create or maintain mandatory reserves at separate accounts with the National Bank of Ukraine.</w:t>
      </w:r>
    </w:p>
    <w:p w:rsidR="00C97EFA" w:rsidRPr="00BA5143" w:rsidRDefault="00C97EFA" w:rsidP="00C97EFA">
      <w:pPr>
        <w:ind w:firstLine="540"/>
        <w:jc w:val="both"/>
        <w:rPr>
          <w:b/>
          <w:i/>
          <w:lang w:val="en-US"/>
        </w:rPr>
      </w:pPr>
    </w:p>
    <w:p w:rsidR="00C97EFA" w:rsidRPr="00BA5143" w:rsidRDefault="00C97EFA" w:rsidP="00C97EFA">
      <w:pPr>
        <w:ind w:firstLine="540"/>
        <w:jc w:val="both"/>
        <w:rPr>
          <w:b/>
          <w:iCs/>
          <w:lang w:val="en-US"/>
        </w:rPr>
      </w:pPr>
      <w:r w:rsidRPr="00BA5143">
        <w:rPr>
          <w:b/>
          <w:iCs/>
          <w:lang w:val="en-US"/>
        </w:rPr>
        <w:t>4.8. Financial assets at fair value through profit or loss</w:t>
      </w:r>
    </w:p>
    <w:p w:rsidR="00C97EFA" w:rsidRPr="00BA5143" w:rsidRDefault="00C97EFA" w:rsidP="00C97EFA">
      <w:pPr>
        <w:ind w:firstLine="540"/>
        <w:jc w:val="both"/>
        <w:rPr>
          <w:b/>
          <w:i/>
          <w:lang w:val="en-US"/>
        </w:rPr>
      </w:pPr>
    </w:p>
    <w:p w:rsidR="00C97EFA" w:rsidRPr="00BA5143" w:rsidRDefault="00C97EFA" w:rsidP="00C97EFA">
      <w:pPr>
        <w:ind w:firstLine="540"/>
        <w:jc w:val="both"/>
        <w:rPr>
          <w:bCs/>
          <w:iCs/>
          <w:lang w:val="en-US"/>
        </w:rPr>
      </w:pPr>
      <w:r w:rsidRPr="00BA5143">
        <w:rPr>
          <w:bCs/>
          <w:iCs/>
          <w:lang w:val="en-US"/>
        </w:rPr>
        <w:t>During the reporting period 2018 and 2017, the Bank did not create or maintain financial assets at fair value through profit or loss.</w:t>
      </w:r>
    </w:p>
    <w:p w:rsidR="00C97EFA" w:rsidRPr="00BA5143" w:rsidRDefault="00C97EFA" w:rsidP="00C97EFA">
      <w:pPr>
        <w:ind w:firstLine="540"/>
        <w:jc w:val="both"/>
        <w:rPr>
          <w:b/>
          <w:i/>
          <w:lang w:val="en-US"/>
        </w:rPr>
      </w:pPr>
    </w:p>
    <w:p w:rsidR="00755FF8" w:rsidRPr="00BA5143" w:rsidRDefault="00C97EFA" w:rsidP="00C97EFA">
      <w:pPr>
        <w:ind w:firstLine="540"/>
        <w:jc w:val="both"/>
        <w:rPr>
          <w:b/>
          <w:iCs/>
          <w:lang w:val="en-US"/>
        </w:rPr>
      </w:pPr>
      <w:r w:rsidRPr="00BA5143">
        <w:rPr>
          <w:b/>
          <w:iCs/>
          <w:lang w:val="en-US"/>
        </w:rPr>
        <w:t>4.9. Money in other banks</w:t>
      </w:r>
    </w:p>
    <w:p w:rsidR="00C97EFA" w:rsidRPr="00BA5143" w:rsidRDefault="00C97EFA" w:rsidP="00C97EFA">
      <w:pPr>
        <w:ind w:firstLine="540"/>
        <w:jc w:val="both"/>
        <w:rPr>
          <w:b/>
          <w:i/>
          <w:lang w:val="en-US"/>
        </w:rPr>
      </w:pPr>
    </w:p>
    <w:p w:rsidR="00C97EFA" w:rsidRPr="00BA5143" w:rsidRDefault="00C97EFA" w:rsidP="00C97EFA">
      <w:pPr>
        <w:ind w:firstLine="540"/>
        <w:jc w:val="both"/>
        <w:rPr>
          <w:szCs w:val="20"/>
          <w:lang w:val="en-US"/>
        </w:rPr>
      </w:pPr>
      <w:r w:rsidRPr="00BA5143">
        <w:rPr>
          <w:szCs w:val="20"/>
          <w:lang w:val="en-US"/>
        </w:rPr>
        <w:t>The funds in other banks include financial assets that provide for the provision of cash for temporary use or acceptance of a commitment to temporarily use funds under certain conditions for the purpose of acquiring or creating a receivable that is not related to derivative financial instruments, not is quoted on an open market and must be redeemed at a fixed or determinable date.</w:t>
      </w:r>
    </w:p>
    <w:p w:rsidR="00C97EFA" w:rsidRPr="00BA5143" w:rsidRDefault="00C97EFA" w:rsidP="00C97EFA">
      <w:pPr>
        <w:ind w:firstLine="540"/>
        <w:jc w:val="both"/>
        <w:rPr>
          <w:szCs w:val="20"/>
          <w:lang w:val="en-US"/>
        </w:rPr>
      </w:pPr>
      <w:r w:rsidRPr="00BA5143">
        <w:rPr>
          <w:szCs w:val="20"/>
          <w:lang w:val="en-US"/>
        </w:rPr>
        <w:t>Granted loans, placed deposits are initially measured and recorded at fair value, including transaction costs and other payments associated with the initiation of a financial instrument.</w:t>
      </w:r>
    </w:p>
    <w:p w:rsidR="00C97EFA" w:rsidRPr="00BA5143" w:rsidRDefault="00C97EFA" w:rsidP="00C97EFA">
      <w:pPr>
        <w:ind w:firstLine="540"/>
        <w:jc w:val="both"/>
        <w:rPr>
          <w:szCs w:val="20"/>
          <w:lang w:val="en-US"/>
        </w:rPr>
      </w:pPr>
      <w:r w:rsidRPr="00BA5143">
        <w:rPr>
          <w:szCs w:val="20"/>
          <w:lang w:val="en-US"/>
        </w:rPr>
        <w:t>The Bank reflects transaction costs and other payments related to the initiation of a financial instrument on the discount accounts (bonuses) for this financial instrument.</w:t>
      </w:r>
    </w:p>
    <w:p w:rsidR="00C97EFA" w:rsidRPr="00BA5143" w:rsidRDefault="00C97EFA" w:rsidP="00C97EFA">
      <w:pPr>
        <w:ind w:firstLine="540"/>
        <w:jc w:val="both"/>
        <w:rPr>
          <w:szCs w:val="20"/>
          <w:lang w:val="en-US"/>
        </w:rPr>
      </w:pPr>
      <w:r w:rsidRPr="00BA5143">
        <w:rPr>
          <w:szCs w:val="20"/>
          <w:lang w:val="en-US"/>
        </w:rPr>
        <w:t>After initial recognition, the Bank assesses the loans granted, deposits (deposits) are depreciated at amortized cost using the effective interest rate.</w:t>
      </w:r>
    </w:p>
    <w:p w:rsidR="00C97EFA" w:rsidRPr="00BA5143" w:rsidRDefault="00C97EFA" w:rsidP="00C97EFA">
      <w:pPr>
        <w:ind w:firstLine="540"/>
        <w:jc w:val="both"/>
        <w:rPr>
          <w:szCs w:val="20"/>
          <w:lang w:val="en-US"/>
        </w:rPr>
      </w:pPr>
      <w:r w:rsidRPr="00BA5143">
        <w:rPr>
          <w:szCs w:val="20"/>
          <w:lang w:val="en-US"/>
        </w:rPr>
        <w:t>The Bank records interest income and expenses on loans, deposits (deposits) and depreciates a discount (premium) using the effective interest rate.</w:t>
      </w:r>
    </w:p>
    <w:p w:rsidR="00C97EFA" w:rsidRPr="00BA5143" w:rsidRDefault="00C97EFA" w:rsidP="00C97EFA">
      <w:pPr>
        <w:ind w:firstLine="540"/>
        <w:jc w:val="both"/>
        <w:rPr>
          <w:lang w:val="en-US"/>
        </w:rPr>
      </w:pPr>
      <w:r w:rsidRPr="00BA5143">
        <w:rPr>
          <w:lang w:val="en-US"/>
        </w:rPr>
        <w:t xml:space="preserve">At the same time, interest is accounted for at the nominal (contractual) interest rate, and the effective interest rate is used to distribute income by adjusting interest income on credit transactions by the difference between the amount of interest income recognized at the effective </w:t>
      </w:r>
      <w:r w:rsidRPr="00BA5143">
        <w:rPr>
          <w:lang w:val="en-US"/>
        </w:rPr>
        <w:lastRenderedPageBreak/>
        <w:t xml:space="preserve">interest rate and accrued at the nominal interest rate of income (expenses ) The difference is displayed on the accounts of the </w:t>
      </w:r>
      <w:r w:rsidR="00201937" w:rsidRPr="00BA5143">
        <w:rPr>
          <w:lang w:val="en-US"/>
        </w:rPr>
        <w:t>unamortized</w:t>
      </w:r>
      <w:r w:rsidRPr="00BA5143">
        <w:rPr>
          <w:lang w:val="en-US"/>
        </w:rPr>
        <w:t xml:space="preserve"> discount and remuneration in correspondence with the accounts of interest income (expenses).</w:t>
      </w:r>
    </w:p>
    <w:p w:rsidR="00C97EFA" w:rsidRPr="00BA5143" w:rsidRDefault="00C97EFA" w:rsidP="00C97EFA">
      <w:pPr>
        <w:ind w:firstLine="540"/>
        <w:jc w:val="both"/>
        <w:rPr>
          <w:lang w:val="en-US"/>
        </w:rPr>
      </w:pPr>
      <w:r w:rsidRPr="00BA5143">
        <w:rPr>
          <w:lang w:val="en-US"/>
        </w:rPr>
        <w:t>The Bank records in profit or loss the amount of the difference between the fair value of the financial asset or financial liability and the value of the contract in correspondence with the discount account (premium) if the effective interest rate on this instrument is higher or lower than the market value.</w:t>
      </w:r>
    </w:p>
    <w:p w:rsidR="00C97EFA" w:rsidRPr="00BA5143" w:rsidRDefault="00C97EFA" w:rsidP="00C97EFA">
      <w:pPr>
        <w:ind w:firstLine="540"/>
        <w:jc w:val="both"/>
        <w:rPr>
          <w:lang w:val="en-US"/>
        </w:rPr>
      </w:pPr>
      <w:r w:rsidRPr="00BA5143">
        <w:rPr>
          <w:lang w:val="en-US"/>
        </w:rPr>
        <w:t>The fair value of a financial instrument at initial recognition is the transaction price (that is, the fair value of the funds provided or received). The Bank determines the fair value of a financial instrument using the appropriate valuation method if the market for a financial instrument is not active, in particular:</w:t>
      </w:r>
    </w:p>
    <w:p w:rsidR="00C97EFA" w:rsidRPr="00BA5143" w:rsidRDefault="00C97EFA" w:rsidP="00C97EFA">
      <w:pPr>
        <w:ind w:firstLine="540"/>
        <w:jc w:val="both"/>
        <w:rPr>
          <w:lang w:val="en-US"/>
        </w:rPr>
      </w:pPr>
      <w:r w:rsidRPr="00BA5143">
        <w:rPr>
          <w:lang w:val="en-US"/>
        </w:rPr>
        <w:t>reference to the market price of another similar instrument;</w:t>
      </w:r>
    </w:p>
    <w:p w:rsidR="00C97EFA" w:rsidRPr="00BA5143" w:rsidRDefault="00C97EFA" w:rsidP="00C97EFA">
      <w:pPr>
        <w:ind w:firstLine="540"/>
        <w:jc w:val="both"/>
        <w:rPr>
          <w:lang w:val="en-US"/>
        </w:rPr>
      </w:pPr>
      <w:r w:rsidRPr="00BA5143">
        <w:rPr>
          <w:lang w:val="en-US"/>
        </w:rPr>
        <w:t>discounted cash flow analysis;</w:t>
      </w:r>
    </w:p>
    <w:p w:rsidR="00C97EFA" w:rsidRPr="00BA5143" w:rsidRDefault="00C97EFA" w:rsidP="00C97EFA">
      <w:pPr>
        <w:ind w:firstLine="540"/>
        <w:jc w:val="both"/>
        <w:rPr>
          <w:lang w:val="en-US"/>
        </w:rPr>
      </w:pPr>
      <w:r w:rsidRPr="00BA5143">
        <w:rPr>
          <w:lang w:val="en-US"/>
        </w:rPr>
        <w:t>other methods that provide a reliable estimate of the fair value of financial instruments.</w:t>
      </w:r>
    </w:p>
    <w:p w:rsidR="00755FF8" w:rsidRPr="00BA5143" w:rsidRDefault="00C97EFA" w:rsidP="00C97EFA">
      <w:pPr>
        <w:ind w:firstLine="540"/>
        <w:jc w:val="both"/>
        <w:rPr>
          <w:lang w:val="en-US"/>
        </w:rPr>
      </w:pPr>
      <w:r w:rsidRPr="00BA5143">
        <w:rPr>
          <w:lang w:val="en-US"/>
        </w:rPr>
        <w:t>During the reporting period, the Bank did not carry out operations on placement of term funds in other banks. Balances on correspondent accounts with other banks are reflected in cash and cash equivalents.</w:t>
      </w:r>
    </w:p>
    <w:p w:rsidR="00C97EFA" w:rsidRPr="00BA5143" w:rsidRDefault="00C97EFA" w:rsidP="00C54975">
      <w:pPr>
        <w:ind w:left="-142" w:firstLine="682"/>
        <w:jc w:val="both"/>
        <w:rPr>
          <w:b/>
          <w:i/>
          <w:highlight w:val="yellow"/>
          <w:lang w:val="en-US"/>
        </w:rPr>
      </w:pPr>
    </w:p>
    <w:p w:rsidR="00C54975" w:rsidRPr="00BA5143" w:rsidRDefault="00C54975" w:rsidP="00C54975">
      <w:pPr>
        <w:ind w:left="-142" w:firstLine="682"/>
        <w:jc w:val="both"/>
        <w:rPr>
          <w:b/>
          <w:iCs/>
          <w:lang w:val="en-US"/>
        </w:rPr>
      </w:pPr>
      <w:r w:rsidRPr="00BA5143">
        <w:rPr>
          <w:b/>
          <w:iCs/>
          <w:lang w:val="en-US"/>
        </w:rPr>
        <w:t xml:space="preserve">4.10. Loans </w:t>
      </w:r>
      <w:r w:rsidR="00526BEC" w:rsidRPr="00BA5143">
        <w:rPr>
          <w:b/>
          <w:iCs/>
          <w:lang w:val="en-US"/>
        </w:rPr>
        <w:t>to</w:t>
      </w:r>
      <w:r w:rsidRPr="00BA5143">
        <w:rPr>
          <w:b/>
          <w:iCs/>
          <w:lang w:val="en-US"/>
        </w:rPr>
        <w:t xml:space="preserve"> customer</w:t>
      </w:r>
      <w:r w:rsidR="00526BEC" w:rsidRPr="00BA5143">
        <w:rPr>
          <w:b/>
          <w:iCs/>
          <w:lang w:val="en-US"/>
        </w:rPr>
        <w:t>s</w:t>
      </w:r>
      <w:r w:rsidRPr="00BA5143">
        <w:rPr>
          <w:b/>
          <w:iCs/>
          <w:lang w:val="en-US"/>
        </w:rPr>
        <w:t xml:space="preserve"> due diligence</w:t>
      </w:r>
    </w:p>
    <w:p w:rsidR="00C54975" w:rsidRPr="00BA5143" w:rsidRDefault="00C54975" w:rsidP="00C54975">
      <w:pPr>
        <w:ind w:left="-142" w:firstLine="682"/>
        <w:jc w:val="both"/>
        <w:rPr>
          <w:b/>
          <w:i/>
          <w:lang w:val="en-US"/>
        </w:rPr>
      </w:pPr>
    </w:p>
    <w:p w:rsidR="00C54975" w:rsidRPr="00BA5143" w:rsidRDefault="00C54975" w:rsidP="00C54975">
      <w:pPr>
        <w:ind w:left="-142" w:firstLine="682"/>
        <w:jc w:val="both"/>
        <w:rPr>
          <w:bCs/>
          <w:iCs/>
          <w:lang w:val="en-US"/>
        </w:rPr>
      </w:pPr>
      <w:r w:rsidRPr="00BA5143">
        <w:rPr>
          <w:bCs/>
          <w:iCs/>
          <w:lang w:val="en-US"/>
        </w:rPr>
        <w:t>During the reporting period 2018 and 2017 the Bank did not carry out operations related to lending to customers.</w:t>
      </w:r>
    </w:p>
    <w:p w:rsidR="00C54975" w:rsidRPr="00BA5143" w:rsidRDefault="00C54975" w:rsidP="00C54975">
      <w:pPr>
        <w:ind w:left="-142" w:firstLine="682"/>
        <w:jc w:val="both"/>
        <w:rPr>
          <w:b/>
          <w:i/>
          <w:lang w:val="en-US"/>
        </w:rPr>
      </w:pPr>
    </w:p>
    <w:p w:rsidR="00C54975" w:rsidRPr="00BA5143" w:rsidRDefault="00C54975" w:rsidP="00C54975">
      <w:pPr>
        <w:ind w:left="-142" w:firstLine="682"/>
        <w:jc w:val="both"/>
        <w:rPr>
          <w:b/>
          <w:iCs/>
          <w:lang w:val="en-US"/>
        </w:rPr>
      </w:pPr>
      <w:r w:rsidRPr="00BA5143">
        <w:rPr>
          <w:b/>
          <w:iCs/>
          <w:lang w:val="en-US"/>
        </w:rPr>
        <w:t>4.11. Agreements for the sale (purchase) of securities with the obligation of reverse repurchase (sale)</w:t>
      </w:r>
    </w:p>
    <w:p w:rsidR="00C54975" w:rsidRPr="00BA5143" w:rsidRDefault="00C54975" w:rsidP="00C54975">
      <w:pPr>
        <w:ind w:left="-142" w:firstLine="682"/>
        <w:jc w:val="both"/>
        <w:rPr>
          <w:b/>
          <w:i/>
          <w:lang w:val="en-US"/>
        </w:rPr>
      </w:pPr>
    </w:p>
    <w:p w:rsidR="00C54975" w:rsidRPr="00BA5143" w:rsidRDefault="00C54975" w:rsidP="00C54975">
      <w:pPr>
        <w:ind w:left="-142" w:firstLine="682"/>
        <w:jc w:val="both"/>
        <w:rPr>
          <w:bCs/>
          <w:iCs/>
          <w:lang w:val="en-US"/>
        </w:rPr>
      </w:pPr>
      <w:r w:rsidRPr="00BA5143">
        <w:rPr>
          <w:bCs/>
          <w:iCs/>
          <w:lang w:val="en-US"/>
        </w:rPr>
        <w:t>During 2017 -2018, the Bank did not enter into contracts for the sale (purchase) of securities with the obligation of reverse repurchase (sale).</w:t>
      </w:r>
    </w:p>
    <w:p w:rsidR="00C54975" w:rsidRPr="00BA5143" w:rsidRDefault="00C54975" w:rsidP="00C54975">
      <w:pPr>
        <w:ind w:left="-142" w:firstLine="682"/>
        <w:jc w:val="both"/>
        <w:rPr>
          <w:b/>
          <w:i/>
          <w:lang w:val="en-US"/>
        </w:rPr>
      </w:pPr>
    </w:p>
    <w:p w:rsidR="00592708" w:rsidRPr="00BA5143" w:rsidRDefault="00C54975" w:rsidP="00C54975">
      <w:pPr>
        <w:ind w:left="-142" w:firstLine="682"/>
        <w:jc w:val="both"/>
        <w:rPr>
          <w:b/>
          <w:iCs/>
          <w:lang w:val="en-US"/>
        </w:rPr>
      </w:pPr>
      <w:r w:rsidRPr="00BA5143">
        <w:rPr>
          <w:b/>
          <w:iCs/>
          <w:lang w:val="en-US"/>
        </w:rPr>
        <w:t>4.12. Investments in securities</w:t>
      </w:r>
    </w:p>
    <w:p w:rsidR="00526BEC" w:rsidRPr="00BA5143" w:rsidRDefault="00526BEC" w:rsidP="00C54975">
      <w:pPr>
        <w:ind w:left="-142" w:firstLine="682"/>
        <w:jc w:val="both"/>
        <w:rPr>
          <w:highlight w:val="yellow"/>
          <w:lang w:val="en-US"/>
        </w:rPr>
      </w:pPr>
    </w:p>
    <w:p w:rsidR="00B2252A" w:rsidRPr="00BA5143" w:rsidRDefault="00B2252A" w:rsidP="00B2252A">
      <w:pPr>
        <w:ind w:firstLine="567"/>
        <w:jc w:val="both"/>
        <w:rPr>
          <w:lang w:val="en-US"/>
        </w:rPr>
      </w:pPr>
      <w:r w:rsidRPr="00BA5143">
        <w:rPr>
          <w:lang w:val="en-US"/>
        </w:rPr>
        <w:t>The Bank's investments in securities are investments in debt securities whose purpose is to receive cash flows in accordance with the terms of issue. Debt securities held by the bank to generate cash flows under the terms of issue are stated at the balance sheet date at amortized cost using the effective interest rate method.</w:t>
      </w:r>
    </w:p>
    <w:p w:rsidR="00B2252A" w:rsidRPr="00BA5143" w:rsidRDefault="00B2252A" w:rsidP="00B2252A">
      <w:pPr>
        <w:ind w:firstLine="567"/>
        <w:jc w:val="both"/>
        <w:rPr>
          <w:lang w:val="en-US"/>
        </w:rPr>
      </w:pPr>
      <w:r w:rsidRPr="00BA5143">
        <w:rPr>
          <w:lang w:val="en-US"/>
        </w:rPr>
        <w:t>For each balance sheet date, securities recorded at amortized cost are analyzed for impairment and, if necessary, subject to adjustments.</w:t>
      </w:r>
    </w:p>
    <w:p w:rsidR="00B2252A" w:rsidRPr="00BA5143" w:rsidRDefault="00B2252A" w:rsidP="00B2252A">
      <w:pPr>
        <w:ind w:firstLine="567"/>
        <w:jc w:val="both"/>
        <w:rPr>
          <w:lang w:val="en-US"/>
        </w:rPr>
      </w:pPr>
      <w:r w:rsidRPr="00BA5143">
        <w:rPr>
          <w:lang w:val="en-US"/>
        </w:rPr>
        <w:t>The Bank recognizes interest income on debt securities depending on the stage of credit risk:</w:t>
      </w:r>
    </w:p>
    <w:p w:rsidR="00B2252A" w:rsidRPr="00BA5143" w:rsidRDefault="00B2252A" w:rsidP="00B2252A">
      <w:pPr>
        <w:ind w:firstLine="567"/>
        <w:jc w:val="both"/>
        <w:rPr>
          <w:lang w:val="en-US"/>
        </w:rPr>
      </w:pPr>
      <w:r w:rsidRPr="00BA5143">
        <w:rPr>
          <w:lang w:val="en-US"/>
        </w:rPr>
        <w:t>- at the first and second stage of credit risk by applying an effective interest rate to gross book value;</w:t>
      </w:r>
    </w:p>
    <w:p w:rsidR="00B2252A" w:rsidRPr="00BA5143" w:rsidRDefault="00B2252A" w:rsidP="00B2252A">
      <w:pPr>
        <w:ind w:firstLine="567"/>
        <w:jc w:val="both"/>
        <w:rPr>
          <w:lang w:val="en-US"/>
        </w:rPr>
      </w:pPr>
      <w:r w:rsidRPr="00BA5143">
        <w:rPr>
          <w:lang w:val="en-US"/>
        </w:rPr>
        <w:t>- in the third stage of impairment, by applying the effective interest rate to the amortized cost, adjusted for the amount of the provision.</w:t>
      </w:r>
    </w:p>
    <w:p w:rsidR="00B2252A" w:rsidRPr="00BA5143" w:rsidRDefault="00B2252A" w:rsidP="00B2252A">
      <w:pPr>
        <w:ind w:firstLine="567"/>
        <w:jc w:val="both"/>
        <w:rPr>
          <w:lang w:val="en-US"/>
        </w:rPr>
      </w:pPr>
      <w:r w:rsidRPr="00BA5143">
        <w:rPr>
          <w:lang w:val="en-US"/>
        </w:rPr>
        <w:t>Reducing the value of investments in securities is reflected in the accounting by creating a provision for the amount exceeding the book value of securities over the amount of expected reimbursement. In the event of a decrease in the value of securities, the bank generates reserves.</w:t>
      </w:r>
    </w:p>
    <w:p w:rsidR="008050B6" w:rsidRPr="00BA5143" w:rsidRDefault="008050B6" w:rsidP="008050B6">
      <w:pPr>
        <w:ind w:firstLine="567"/>
        <w:jc w:val="both"/>
        <w:rPr>
          <w:lang w:val="en-US"/>
        </w:rPr>
      </w:pPr>
      <w:r w:rsidRPr="00BA5143">
        <w:rPr>
          <w:lang w:val="en-US"/>
        </w:rPr>
        <w:t>During the reporting year 2018 and the previous reporting period, the bank exclusively invested in risk-free debt securities: government-denominated bonds denominated in national currency, with maturity up to 1 year, and deposit certificates of the National Bank of Ukraine.</w:t>
      </w:r>
    </w:p>
    <w:p w:rsidR="008050B6" w:rsidRPr="00BA5143" w:rsidRDefault="008050B6" w:rsidP="008050B6">
      <w:pPr>
        <w:ind w:firstLine="567"/>
        <w:jc w:val="both"/>
        <w:rPr>
          <w:lang w:val="en-US"/>
        </w:rPr>
      </w:pPr>
    </w:p>
    <w:p w:rsidR="00D36AB2" w:rsidRDefault="00D36AB2" w:rsidP="008050B6">
      <w:pPr>
        <w:ind w:firstLine="567"/>
        <w:jc w:val="both"/>
        <w:rPr>
          <w:b/>
          <w:bCs/>
          <w:lang w:val="en-US"/>
        </w:rPr>
      </w:pPr>
    </w:p>
    <w:p w:rsidR="00D36AB2" w:rsidRDefault="00D36AB2" w:rsidP="008050B6">
      <w:pPr>
        <w:ind w:firstLine="567"/>
        <w:jc w:val="both"/>
        <w:rPr>
          <w:b/>
          <w:bCs/>
          <w:lang w:val="en-US"/>
        </w:rPr>
      </w:pPr>
    </w:p>
    <w:p w:rsidR="008050B6" w:rsidRPr="00BA5143" w:rsidRDefault="008050B6" w:rsidP="008050B6">
      <w:pPr>
        <w:ind w:firstLine="567"/>
        <w:jc w:val="both"/>
        <w:rPr>
          <w:b/>
          <w:bCs/>
          <w:lang w:val="en-US"/>
        </w:rPr>
      </w:pPr>
      <w:r w:rsidRPr="00BA5143">
        <w:rPr>
          <w:b/>
          <w:bCs/>
          <w:lang w:val="en-US"/>
        </w:rPr>
        <w:lastRenderedPageBreak/>
        <w:t>4.13. Investments in Associates</w:t>
      </w:r>
    </w:p>
    <w:p w:rsidR="008050B6" w:rsidRPr="00BA5143" w:rsidRDefault="008050B6" w:rsidP="008050B6">
      <w:pPr>
        <w:ind w:firstLine="567"/>
        <w:jc w:val="both"/>
        <w:rPr>
          <w:lang w:val="en-US"/>
        </w:rPr>
      </w:pPr>
    </w:p>
    <w:p w:rsidR="008050B6" w:rsidRPr="00BA5143" w:rsidRDefault="008050B6" w:rsidP="008050B6">
      <w:pPr>
        <w:ind w:firstLine="567"/>
        <w:jc w:val="both"/>
        <w:rPr>
          <w:lang w:val="en-US"/>
        </w:rPr>
      </w:pPr>
      <w:r w:rsidRPr="00BA5143">
        <w:rPr>
          <w:lang w:val="en-US"/>
        </w:rPr>
        <w:t>During 2017-2018, the Bank did not invest in associates.</w:t>
      </w:r>
    </w:p>
    <w:p w:rsidR="008050B6" w:rsidRPr="00BA5143" w:rsidRDefault="008050B6" w:rsidP="008050B6">
      <w:pPr>
        <w:ind w:firstLine="567"/>
        <w:jc w:val="both"/>
        <w:rPr>
          <w:lang w:val="en-US"/>
        </w:rPr>
      </w:pPr>
    </w:p>
    <w:p w:rsidR="00083DE1" w:rsidRPr="00BA5143" w:rsidRDefault="008050B6" w:rsidP="008050B6">
      <w:pPr>
        <w:ind w:firstLine="567"/>
        <w:jc w:val="both"/>
        <w:rPr>
          <w:b/>
          <w:bCs/>
          <w:lang w:val="en-US"/>
        </w:rPr>
      </w:pPr>
      <w:r w:rsidRPr="00BA5143">
        <w:rPr>
          <w:b/>
          <w:bCs/>
          <w:lang w:val="en-US"/>
        </w:rPr>
        <w:t>4.14. Investment Property</w:t>
      </w:r>
    </w:p>
    <w:p w:rsidR="008050B6" w:rsidRPr="00BA5143" w:rsidRDefault="008050B6" w:rsidP="008050B6">
      <w:pPr>
        <w:ind w:firstLine="567"/>
        <w:jc w:val="both"/>
        <w:rPr>
          <w:b/>
          <w:bCs/>
          <w:lang w:val="en-US"/>
        </w:rPr>
      </w:pPr>
    </w:p>
    <w:p w:rsidR="008050B6" w:rsidRPr="00BA5143" w:rsidRDefault="008050B6" w:rsidP="008050B6">
      <w:pPr>
        <w:ind w:firstLine="540"/>
        <w:jc w:val="both"/>
        <w:rPr>
          <w:lang w:val="en-US"/>
        </w:rPr>
      </w:pPr>
      <w:r w:rsidRPr="00BA5143">
        <w:rPr>
          <w:lang w:val="en-US"/>
        </w:rPr>
        <w:t>Investment property - real estate (land or building or part of the building, or a combination thereof) held by (the owner or lessee under a finance lease agreement) in order to obtain lease payments (lease payments) or increase the cost of capital or to achieve both goals.</w:t>
      </w:r>
    </w:p>
    <w:p w:rsidR="008050B6" w:rsidRPr="00BA5143" w:rsidRDefault="008050B6" w:rsidP="008050B6">
      <w:pPr>
        <w:ind w:firstLine="540"/>
        <w:jc w:val="both"/>
        <w:rPr>
          <w:lang w:val="en-US"/>
        </w:rPr>
      </w:pPr>
      <w:r w:rsidRPr="00BA5143">
        <w:rPr>
          <w:lang w:val="en-US"/>
        </w:rPr>
        <w:t>At initial recognition of investment property, the Bank evaluates and displays it in accounting at cost, which includes the purchase price of this property and all costs directly related to its acquisition.</w:t>
      </w:r>
    </w:p>
    <w:p w:rsidR="008050B6" w:rsidRPr="00BA5143" w:rsidRDefault="008050B6" w:rsidP="008050B6">
      <w:pPr>
        <w:ind w:firstLine="540"/>
        <w:jc w:val="both"/>
        <w:rPr>
          <w:lang w:val="en-US"/>
        </w:rPr>
      </w:pPr>
      <w:r w:rsidRPr="00BA5143">
        <w:rPr>
          <w:lang w:val="en-US"/>
        </w:rPr>
        <w:t>After initial recognition of an investment property, its further assessment is carried out by the Bank at its original cost (cost) based on accumulated depreciation (other than investment property in the form of land) and impairment losses.</w:t>
      </w:r>
    </w:p>
    <w:p w:rsidR="008050B6" w:rsidRPr="00BA5143" w:rsidRDefault="008050B6" w:rsidP="008050B6">
      <w:pPr>
        <w:ind w:firstLine="540"/>
        <w:jc w:val="both"/>
        <w:rPr>
          <w:lang w:val="en-US"/>
        </w:rPr>
      </w:pPr>
      <w:r w:rsidRPr="00BA5143">
        <w:rPr>
          <w:lang w:val="en-US"/>
        </w:rPr>
        <w:t>The liquidation value of such a property is zero, the original value is depreciated over its useful life, which is 75 years for buildings.</w:t>
      </w:r>
    </w:p>
    <w:p w:rsidR="008050B6" w:rsidRPr="00BA5143" w:rsidRDefault="008050B6" w:rsidP="008050B6">
      <w:pPr>
        <w:ind w:firstLine="540"/>
        <w:jc w:val="both"/>
        <w:rPr>
          <w:lang w:val="en-US"/>
        </w:rPr>
      </w:pPr>
      <w:r w:rsidRPr="00BA5143">
        <w:rPr>
          <w:lang w:val="en-US"/>
        </w:rPr>
        <w:t>The Bank analyzes the presence of evidence of impairment of investment property, if there is evidence of a possible loss of economic benefit.</w:t>
      </w:r>
    </w:p>
    <w:p w:rsidR="00FC44B4" w:rsidRPr="00BA5143" w:rsidRDefault="008050B6" w:rsidP="008050B6">
      <w:pPr>
        <w:ind w:firstLine="540"/>
        <w:jc w:val="both"/>
        <w:rPr>
          <w:lang w:val="en-US"/>
        </w:rPr>
      </w:pPr>
      <w:r w:rsidRPr="00BA5143">
        <w:rPr>
          <w:lang w:val="en-US"/>
        </w:rPr>
        <w:t>The Bank analyzes the availability of property, plant and equipment and intangible assets impairment annually as of December 1, 2006, as part of the annual inventory of assets and liabilities. As a result of the inventory, as at 1/12/2018 there are no grounds for recognizing the impairment of investment property objects.</w:t>
      </w:r>
    </w:p>
    <w:p w:rsidR="008050B6" w:rsidRPr="00BA5143" w:rsidRDefault="008050B6" w:rsidP="008050B6">
      <w:pPr>
        <w:ind w:firstLine="540"/>
        <w:jc w:val="both"/>
        <w:rPr>
          <w:highlight w:val="yellow"/>
          <w:lang w:val="en-US"/>
        </w:rPr>
      </w:pPr>
    </w:p>
    <w:p w:rsidR="008050B6" w:rsidRPr="00BA5143" w:rsidRDefault="008050B6" w:rsidP="008050B6">
      <w:pPr>
        <w:ind w:firstLine="540"/>
        <w:jc w:val="both"/>
        <w:rPr>
          <w:b/>
          <w:iCs/>
          <w:lang w:val="en-US"/>
        </w:rPr>
      </w:pPr>
      <w:r w:rsidRPr="00BA5143">
        <w:rPr>
          <w:b/>
          <w:iCs/>
          <w:lang w:val="en-US"/>
        </w:rPr>
        <w:t>4.15. Goodwill</w:t>
      </w:r>
    </w:p>
    <w:p w:rsidR="008050B6" w:rsidRPr="00BA5143" w:rsidRDefault="008050B6" w:rsidP="008050B6">
      <w:pPr>
        <w:ind w:firstLine="540"/>
        <w:jc w:val="both"/>
        <w:rPr>
          <w:b/>
          <w:i/>
          <w:lang w:val="en-US"/>
        </w:rPr>
      </w:pPr>
    </w:p>
    <w:p w:rsidR="008050B6" w:rsidRPr="00BA5143" w:rsidRDefault="008050B6" w:rsidP="008050B6">
      <w:pPr>
        <w:ind w:firstLine="540"/>
        <w:jc w:val="both"/>
        <w:rPr>
          <w:bCs/>
          <w:iCs/>
          <w:lang w:val="en-US"/>
        </w:rPr>
      </w:pPr>
      <w:r w:rsidRPr="00BA5143">
        <w:rPr>
          <w:bCs/>
          <w:iCs/>
          <w:lang w:val="en-US"/>
        </w:rPr>
        <w:t>Due to the fact that during the reporting period the bank did not carry out business combinations, goodwill was not recognized during 2017-2018.</w:t>
      </w:r>
    </w:p>
    <w:p w:rsidR="008050B6" w:rsidRPr="00BA5143" w:rsidRDefault="008050B6" w:rsidP="008050B6">
      <w:pPr>
        <w:ind w:firstLine="540"/>
        <w:jc w:val="both"/>
        <w:rPr>
          <w:b/>
          <w:i/>
          <w:lang w:val="en-US"/>
        </w:rPr>
      </w:pPr>
    </w:p>
    <w:p w:rsidR="008050B6" w:rsidRPr="00BA5143" w:rsidRDefault="008050B6" w:rsidP="008050B6">
      <w:pPr>
        <w:ind w:firstLine="540"/>
        <w:jc w:val="both"/>
        <w:rPr>
          <w:b/>
          <w:iCs/>
          <w:lang w:val="en-US"/>
        </w:rPr>
      </w:pPr>
      <w:r w:rsidRPr="00BA5143">
        <w:rPr>
          <w:b/>
          <w:iCs/>
          <w:lang w:val="en-US"/>
        </w:rPr>
        <w:t>4.16. Fixed assets</w:t>
      </w:r>
    </w:p>
    <w:p w:rsidR="008050B6" w:rsidRPr="00BA5143" w:rsidRDefault="008050B6" w:rsidP="008050B6">
      <w:pPr>
        <w:ind w:firstLine="540"/>
        <w:jc w:val="both"/>
        <w:rPr>
          <w:b/>
          <w:i/>
          <w:lang w:val="en-US"/>
        </w:rPr>
      </w:pPr>
    </w:p>
    <w:p w:rsidR="008050B6" w:rsidRPr="00BA5143" w:rsidRDefault="008050B6" w:rsidP="008050B6">
      <w:pPr>
        <w:ind w:firstLine="540"/>
        <w:jc w:val="both"/>
        <w:rPr>
          <w:bCs/>
          <w:iCs/>
          <w:lang w:val="en-US"/>
        </w:rPr>
      </w:pPr>
      <w:r w:rsidRPr="00BA5143">
        <w:rPr>
          <w:bCs/>
          <w:iCs/>
          <w:lang w:val="en-US"/>
        </w:rPr>
        <w:t>Purchased (created) fixed assets / low value non-current tangible and intangible assets are credited to the Bank's balance sheet at an original cost, which includes all costs associated with the acquisition (creation), delivery, installation and commissioning.</w:t>
      </w:r>
    </w:p>
    <w:p w:rsidR="008050B6" w:rsidRPr="00BA5143" w:rsidRDefault="008050B6" w:rsidP="008050B6">
      <w:pPr>
        <w:ind w:firstLine="540"/>
        <w:jc w:val="both"/>
        <w:rPr>
          <w:bCs/>
          <w:iCs/>
          <w:lang w:val="en-US"/>
        </w:rPr>
      </w:pPr>
      <w:r w:rsidRPr="00BA5143">
        <w:rPr>
          <w:bCs/>
          <w:iCs/>
          <w:lang w:val="en-US"/>
        </w:rPr>
        <w:t xml:space="preserve">Subsequently, fixed </w:t>
      </w:r>
      <w:r w:rsidR="00BA5143" w:rsidRPr="00BA5143">
        <w:rPr>
          <w:bCs/>
          <w:iCs/>
          <w:lang w:val="en-US"/>
        </w:rPr>
        <w:t>assets</w:t>
      </w:r>
      <w:r w:rsidRPr="00BA5143">
        <w:rPr>
          <w:bCs/>
          <w:iCs/>
          <w:lang w:val="en-US"/>
        </w:rPr>
        <w:t xml:space="preserve"> are stated at cost less accumulated depreciation and any accumulated impairment losses.</w:t>
      </w:r>
    </w:p>
    <w:p w:rsidR="008050B6" w:rsidRPr="00BA5143" w:rsidRDefault="008050B6" w:rsidP="008050B6">
      <w:pPr>
        <w:ind w:firstLine="540"/>
        <w:jc w:val="both"/>
        <w:rPr>
          <w:bCs/>
          <w:iCs/>
          <w:lang w:val="en-US"/>
        </w:rPr>
      </w:pPr>
      <w:r w:rsidRPr="00BA5143">
        <w:rPr>
          <w:bCs/>
          <w:iCs/>
          <w:lang w:val="en-US"/>
        </w:rPr>
        <w:t>When calculating depreciation using a straightforward method.</w:t>
      </w:r>
    </w:p>
    <w:p w:rsidR="008050B6" w:rsidRPr="00BA5143" w:rsidRDefault="008050B6" w:rsidP="008050B6">
      <w:pPr>
        <w:ind w:firstLine="540"/>
        <w:jc w:val="both"/>
        <w:rPr>
          <w:bCs/>
          <w:iCs/>
          <w:lang w:val="en-US"/>
        </w:rPr>
      </w:pPr>
      <w:r w:rsidRPr="00BA5143">
        <w:rPr>
          <w:bCs/>
          <w:iCs/>
          <w:lang w:val="en-US"/>
        </w:rPr>
        <w:t>Depreciation charges are defined as administrative and other expenses in the statement of income.</w:t>
      </w:r>
    </w:p>
    <w:p w:rsidR="008050B6" w:rsidRPr="00BA5143" w:rsidRDefault="008050B6" w:rsidP="008050B6">
      <w:pPr>
        <w:ind w:firstLine="540"/>
        <w:jc w:val="both"/>
        <w:rPr>
          <w:bCs/>
          <w:iCs/>
          <w:lang w:val="en-US"/>
        </w:rPr>
      </w:pPr>
      <w:r w:rsidRPr="00BA5143">
        <w:rPr>
          <w:bCs/>
          <w:iCs/>
          <w:lang w:val="en-US"/>
        </w:rPr>
        <w:t>The range of useful life (exploitation) of fixed assets is between 3 and 75 years, including:</w:t>
      </w:r>
    </w:p>
    <w:p w:rsidR="008050B6" w:rsidRPr="00BA5143" w:rsidRDefault="008050B6" w:rsidP="008050B6">
      <w:pPr>
        <w:ind w:firstLine="540"/>
        <w:jc w:val="both"/>
        <w:rPr>
          <w:bCs/>
          <w:iCs/>
          <w:lang w:val="en-US"/>
        </w:rPr>
      </w:pPr>
      <w:r w:rsidRPr="00BA5143">
        <w:rPr>
          <w:bCs/>
          <w:iCs/>
          <w:lang w:val="en-US"/>
        </w:rPr>
        <w:t>-building 75 years old;</w:t>
      </w:r>
    </w:p>
    <w:p w:rsidR="008050B6" w:rsidRPr="00BA5143" w:rsidRDefault="008050B6" w:rsidP="008050B6">
      <w:pPr>
        <w:ind w:firstLine="540"/>
        <w:jc w:val="both"/>
        <w:rPr>
          <w:bCs/>
          <w:iCs/>
          <w:lang w:val="en-US"/>
        </w:rPr>
      </w:pPr>
      <w:r w:rsidRPr="00BA5143">
        <w:rPr>
          <w:bCs/>
          <w:iCs/>
          <w:lang w:val="en-US"/>
        </w:rPr>
        <w:t>-machines and equipment - 5-7 years;</w:t>
      </w:r>
    </w:p>
    <w:p w:rsidR="008050B6" w:rsidRPr="00BA5143" w:rsidRDefault="008050B6" w:rsidP="008050B6">
      <w:pPr>
        <w:ind w:firstLine="540"/>
        <w:jc w:val="both"/>
        <w:rPr>
          <w:bCs/>
          <w:iCs/>
          <w:lang w:val="en-US"/>
        </w:rPr>
      </w:pPr>
      <w:r w:rsidRPr="00BA5143">
        <w:rPr>
          <w:bCs/>
          <w:iCs/>
          <w:lang w:val="en-US"/>
        </w:rPr>
        <w:t>- tools, instruments and equipment - 4 years;</w:t>
      </w:r>
    </w:p>
    <w:p w:rsidR="008050B6" w:rsidRPr="00BA5143" w:rsidRDefault="008050B6" w:rsidP="008050B6">
      <w:pPr>
        <w:ind w:firstLine="540"/>
        <w:jc w:val="both"/>
        <w:rPr>
          <w:bCs/>
          <w:iCs/>
          <w:lang w:val="en-US"/>
        </w:rPr>
      </w:pPr>
      <w:r w:rsidRPr="00BA5143">
        <w:rPr>
          <w:bCs/>
          <w:iCs/>
          <w:lang w:val="en-US"/>
        </w:rPr>
        <w:t>-information systems and other machines for automatic information processing - 5 years.</w:t>
      </w:r>
    </w:p>
    <w:p w:rsidR="008050B6" w:rsidRPr="00BA5143" w:rsidRDefault="008050B6" w:rsidP="008050B6">
      <w:pPr>
        <w:ind w:firstLine="540"/>
        <w:jc w:val="both"/>
        <w:rPr>
          <w:bCs/>
          <w:iCs/>
          <w:lang w:val="en-US"/>
        </w:rPr>
      </w:pPr>
      <w:r w:rsidRPr="00BA5143">
        <w:rPr>
          <w:bCs/>
          <w:iCs/>
          <w:lang w:val="en-US"/>
        </w:rPr>
        <w:t>During the reporting year, useful life of fixed assets has been revised, but has not changed.</w:t>
      </w:r>
    </w:p>
    <w:p w:rsidR="008050B6" w:rsidRPr="00BA5143" w:rsidRDefault="008050B6" w:rsidP="008050B6">
      <w:pPr>
        <w:ind w:firstLine="540"/>
        <w:jc w:val="both"/>
        <w:rPr>
          <w:bCs/>
          <w:iCs/>
          <w:lang w:val="en-US"/>
        </w:rPr>
      </w:pPr>
      <w:r w:rsidRPr="00BA5143">
        <w:rPr>
          <w:bCs/>
          <w:iCs/>
          <w:lang w:val="en-US"/>
        </w:rPr>
        <w:t>The Bank recognizes impairment if there is evidence of a possible loss of economic benefit. The usefulness of non-current assets is reduced if their book value exceeds the estimated amount of expected reimbursement. The Bank performs an analysis of the existence of evidence of impairment of fixed assets and intangible assets each year. Based on the results of the inventory of fixed assets held on 01.12.2018, there are no grounds for recognizing impairment.</w:t>
      </w:r>
    </w:p>
    <w:p w:rsidR="008050B6" w:rsidRPr="00BA5143" w:rsidRDefault="008050B6" w:rsidP="008050B6">
      <w:pPr>
        <w:ind w:firstLine="540"/>
        <w:jc w:val="both"/>
        <w:rPr>
          <w:b/>
          <w:i/>
          <w:lang w:val="en-US"/>
        </w:rPr>
      </w:pPr>
    </w:p>
    <w:p w:rsidR="00806896" w:rsidRPr="00BA5143" w:rsidRDefault="00806896" w:rsidP="00806896">
      <w:pPr>
        <w:ind w:firstLine="540"/>
        <w:jc w:val="both"/>
        <w:rPr>
          <w:b/>
          <w:iCs/>
          <w:lang w:val="en-US"/>
        </w:rPr>
      </w:pPr>
      <w:r w:rsidRPr="00BA5143">
        <w:rPr>
          <w:b/>
          <w:iCs/>
          <w:lang w:val="en-US"/>
        </w:rPr>
        <w:lastRenderedPageBreak/>
        <w:t>4.17. Intangible assets</w:t>
      </w:r>
    </w:p>
    <w:p w:rsidR="00806896" w:rsidRPr="00BA5143" w:rsidRDefault="00806896" w:rsidP="00806896">
      <w:pPr>
        <w:ind w:firstLine="540"/>
        <w:jc w:val="both"/>
        <w:rPr>
          <w:b/>
          <w:i/>
          <w:lang w:val="en-US"/>
        </w:rPr>
      </w:pPr>
    </w:p>
    <w:p w:rsidR="00806896" w:rsidRPr="00BA5143" w:rsidRDefault="00806896" w:rsidP="00806896">
      <w:pPr>
        <w:ind w:firstLine="540"/>
        <w:jc w:val="both"/>
        <w:rPr>
          <w:bCs/>
          <w:iCs/>
          <w:lang w:val="en-US"/>
        </w:rPr>
      </w:pPr>
      <w:r w:rsidRPr="00BA5143">
        <w:rPr>
          <w:bCs/>
          <w:iCs/>
          <w:lang w:val="en-US"/>
        </w:rPr>
        <w:t>Acquired intangible assets are carried at historical cost, which consists of actual costs for acquisition (manufacturing) and bringing to a state at which they are suitable for use in accordance with the intended purpose.</w:t>
      </w:r>
    </w:p>
    <w:p w:rsidR="00806896" w:rsidRPr="00BA5143" w:rsidRDefault="00806896" w:rsidP="00806896">
      <w:pPr>
        <w:ind w:firstLine="540"/>
        <w:jc w:val="both"/>
        <w:rPr>
          <w:bCs/>
          <w:iCs/>
          <w:lang w:val="en-US"/>
        </w:rPr>
      </w:pPr>
      <w:r w:rsidRPr="00BA5143">
        <w:rPr>
          <w:bCs/>
          <w:iCs/>
          <w:lang w:val="en-US"/>
        </w:rPr>
        <w:t>Subsequently, intangible assets are carried at cost less accumulated depreciation and any accumulated impairment losses.</w:t>
      </w:r>
    </w:p>
    <w:p w:rsidR="00806896" w:rsidRPr="00BA5143" w:rsidRDefault="00806896" w:rsidP="00806896">
      <w:pPr>
        <w:ind w:firstLine="540"/>
        <w:jc w:val="both"/>
        <w:rPr>
          <w:bCs/>
          <w:iCs/>
          <w:lang w:val="en-US"/>
        </w:rPr>
      </w:pPr>
      <w:r w:rsidRPr="00BA5143">
        <w:rPr>
          <w:bCs/>
          <w:iCs/>
          <w:lang w:val="en-US"/>
        </w:rPr>
        <w:t>The revaluation of the initial value of intangible assets in the reported year was not conducted by the Bank.</w:t>
      </w:r>
    </w:p>
    <w:p w:rsidR="00806896" w:rsidRPr="00BA5143" w:rsidRDefault="00806896" w:rsidP="00806896">
      <w:pPr>
        <w:ind w:firstLine="540"/>
        <w:jc w:val="both"/>
        <w:rPr>
          <w:bCs/>
          <w:iCs/>
          <w:lang w:val="en-US"/>
        </w:rPr>
      </w:pPr>
      <w:r w:rsidRPr="00BA5143">
        <w:rPr>
          <w:bCs/>
          <w:iCs/>
          <w:lang w:val="en-US"/>
        </w:rPr>
        <w:t>The Bank analyzes the availability of impairment indicators for intangible assets each year as of December 1, 2006, in the framework of annual inventory of assets and liabilities.</w:t>
      </w:r>
    </w:p>
    <w:p w:rsidR="007F668E" w:rsidRPr="00BA5143" w:rsidRDefault="00806896" w:rsidP="00806896">
      <w:pPr>
        <w:ind w:firstLine="540"/>
        <w:jc w:val="both"/>
        <w:rPr>
          <w:bCs/>
          <w:iCs/>
          <w:lang w:val="en-US"/>
        </w:rPr>
      </w:pPr>
      <w:r w:rsidRPr="00BA5143">
        <w:rPr>
          <w:bCs/>
          <w:iCs/>
          <w:lang w:val="en-US"/>
        </w:rPr>
        <w:t>The Bank recognizes impairment if there is evidence of a possible loss of economic benefit. The usefulness of intangible assets decreases if their carrying amount exceeds the estimated amount of expected reimbursement. During 2017-2018 impairment of intangible assets was not recognized.</w:t>
      </w:r>
    </w:p>
    <w:p w:rsidR="00806896" w:rsidRPr="00BA5143" w:rsidRDefault="00806896" w:rsidP="00806896">
      <w:pPr>
        <w:ind w:firstLine="540"/>
        <w:jc w:val="both"/>
        <w:rPr>
          <w:bCs/>
          <w:iCs/>
          <w:lang w:val="en-US"/>
        </w:rPr>
      </w:pPr>
    </w:p>
    <w:p w:rsidR="00806896" w:rsidRPr="00BA5143" w:rsidRDefault="00806896" w:rsidP="00806896">
      <w:pPr>
        <w:ind w:firstLine="540"/>
        <w:jc w:val="both"/>
        <w:rPr>
          <w:b/>
          <w:iCs/>
          <w:lang w:val="en-US"/>
        </w:rPr>
      </w:pPr>
      <w:r w:rsidRPr="00BA5143">
        <w:rPr>
          <w:b/>
          <w:iCs/>
          <w:lang w:val="en-US"/>
        </w:rPr>
        <w:t>4.18. Operational lease by which the bank acts as a lessor and / or lessee</w:t>
      </w:r>
    </w:p>
    <w:p w:rsidR="00806896" w:rsidRPr="00BA5143" w:rsidRDefault="00806896" w:rsidP="00806896">
      <w:pPr>
        <w:ind w:firstLine="540"/>
        <w:jc w:val="both"/>
        <w:rPr>
          <w:b/>
          <w:i/>
          <w:lang w:val="en-US"/>
        </w:rPr>
      </w:pPr>
    </w:p>
    <w:p w:rsidR="00806896" w:rsidRPr="00BA5143" w:rsidRDefault="00806896" w:rsidP="00806896">
      <w:pPr>
        <w:ind w:firstLine="540"/>
        <w:jc w:val="both"/>
        <w:rPr>
          <w:bCs/>
          <w:iCs/>
          <w:lang w:val="en-US"/>
        </w:rPr>
      </w:pPr>
      <w:r w:rsidRPr="00BA5143">
        <w:rPr>
          <w:bCs/>
          <w:iCs/>
          <w:lang w:val="en-US"/>
        </w:rPr>
        <w:t>Operational lease is a business transaction involving the transfer to the lessee of the right to use fixed assets for a term not exceeding their full depreciation period, with the obligatory return of such fixed assets to their owner after the expiration of the lease agreement.</w:t>
      </w:r>
    </w:p>
    <w:p w:rsidR="00806896" w:rsidRPr="00BA5143" w:rsidRDefault="00806896" w:rsidP="00806896">
      <w:pPr>
        <w:ind w:firstLine="540"/>
        <w:jc w:val="both"/>
        <w:rPr>
          <w:bCs/>
          <w:iCs/>
          <w:lang w:val="en-US"/>
        </w:rPr>
      </w:pPr>
      <w:r w:rsidRPr="00BA5143">
        <w:rPr>
          <w:bCs/>
          <w:iCs/>
          <w:lang w:val="en-US"/>
        </w:rPr>
        <w:t>The accounting of fixed assets transferred to operating leases is continued by the Bank on the balance accounts for which these assets were accounted for in the balance sheet of the bank prior to operating lease.</w:t>
      </w:r>
    </w:p>
    <w:p w:rsidR="00806896" w:rsidRPr="00BA5143" w:rsidRDefault="00806896" w:rsidP="00806896">
      <w:pPr>
        <w:ind w:firstLine="540"/>
        <w:jc w:val="both"/>
        <w:rPr>
          <w:bCs/>
          <w:iCs/>
          <w:lang w:val="en-US"/>
        </w:rPr>
      </w:pPr>
      <w:r w:rsidRPr="00BA5143">
        <w:rPr>
          <w:bCs/>
          <w:iCs/>
          <w:lang w:val="en-US"/>
        </w:rPr>
        <w:t>During the term of the lease agreement, the Bank charges depreciation on assets transferred to operational leasing in accordance with the accounting policy.</w:t>
      </w:r>
    </w:p>
    <w:p w:rsidR="00806896" w:rsidRPr="00BA5143" w:rsidRDefault="00806896" w:rsidP="00806896">
      <w:pPr>
        <w:ind w:firstLine="540"/>
        <w:jc w:val="both"/>
        <w:rPr>
          <w:bCs/>
          <w:iCs/>
          <w:lang w:val="en-US"/>
        </w:rPr>
      </w:pPr>
      <w:r w:rsidRPr="00BA5143">
        <w:rPr>
          <w:bCs/>
          <w:iCs/>
          <w:lang w:val="en-US"/>
        </w:rPr>
        <w:t>The lease payments are accounted for by the Bank in accordance with the operating lease agreement on the terms of payment of the lease payment provided for by this agreement and on the last working day of the month (if payment for services rendered in the current month is carried out next month).</w:t>
      </w:r>
    </w:p>
    <w:p w:rsidR="00EE087F" w:rsidRPr="00BA5143" w:rsidRDefault="00806896" w:rsidP="00806896">
      <w:pPr>
        <w:ind w:firstLine="540"/>
        <w:jc w:val="both"/>
        <w:rPr>
          <w:bCs/>
          <w:iCs/>
          <w:lang w:val="en-US"/>
        </w:rPr>
      </w:pPr>
      <w:r w:rsidRPr="00BA5143">
        <w:rPr>
          <w:bCs/>
          <w:iCs/>
          <w:lang w:val="en-US"/>
        </w:rPr>
        <w:t>During the reporting period, the bank did not perform operations to provide / obtain non-current assets in operating leases.</w:t>
      </w:r>
    </w:p>
    <w:p w:rsidR="00806896" w:rsidRPr="00BA5143" w:rsidRDefault="00806896" w:rsidP="00806896">
      <w:pPr>
        <w:ind w:firstLine="540"/>
        <w:jc w:val="both"/>
        <w:rPr>
          <w:bCs/>
          <w:iCs/>
          <w:lang w:val="en-US"/>
        </w:rPr>
      </w:pPr>
    </w:p>
    <w:p w:rsidR="00806896" w:rsidRPr="00BA5143" w:rsidRDefault="00806896" w:rsidP="00806896">
      <w:pPr>
        <w:ind w:firstLine="540"/>
        <w:jc w:val="both"/>
        <w:rPr>
          <w:b/>
          <w:bCs/>
          <w:lang w:val="en-US"/>
        </w:rPr>
      </w:pPr>
      <w:r w:rsidRPr="00BA5143">
        <w:rPr>
          <w:b/>
          <w:bCs/>
          <w:lang w:val="en-US"/>
        </w:rPr>
        <w:t>4.19. Financial leasing in which the bank acts as a lessor and / or lessee</w:t>
      </w:r>
    </w:p>
    <w:p w:rsidR="00806896" w:rsidRPr="00BA5143" w:rsidRDefault="00806896" w:rsidP="00806896">
      <w:pPr>
        <w:ind w:firstLine="540"/>
        <w:jc w:val="both"/>
        <w:rPr>
          <w:lang w:val="en-US"/>
        </w:rPr>
      </w:pPr>
    </w:p>
    <w:p w:rsidR="00806896" w:rsidRPr="00BA5143" w:rsidRDefault="00806896" w:rsidP="00806896">
      <w:pPr>
        <w:ind w:firstLine="540"/>
        <w:jc w:val="both"/>
        <w:rPr>
          <w:lang w:val="en-US"/>
        </w:rPr>
      </w:pPr>
      <w:r w:rsidRPr="00BA5143">
        <w:rPr>
          <w:lang w:val="en-US"/>
        </w:rPr>
        <w:t>During the period from 2017 to 2018, the Bank did not perform financial leasing transactions for which the Bank acted as a leasing and / or lessee.</w:t>
      </w:r>
    </w:p>
    <w:p w:rsidR="00806896" w:rsidRPr="00BA5143" w:rsidRDefault="00806896" w:rsidP="00806896">
      <w:pPr>
        <w:ind w:firstLine="540"/>
        <w:jc w:val="both"/>
        <w:rPr>
          <w:lang w:val="en-US"/>
        </w:rPr>
      </w:pPr>
    </w:p>
    <w:p w:rsidR="00806896" w:rsidRPr="00BA5143" w:rsidRDefault="00806896" w:rsidP="00806896">
      <w:pPr>
        <w:ind w:firstLine="540"/>
        <w:jc w:val="both"/>
        <w:rPr>
          <w:b/>
          <w:bCs/>
          <w:lang w:val="en-US"/>
        </w:rPr>
      </w:pPr>
      <w:r w:rsidRPr="00BA5143">
        <w:rPr>
          <w:b/>
          <w:bCs/>
          <w:lang w:val="en-US"/>
        </w:rPr>
        <w:t>4.20. Non-current assets held for sale and disposal groups</w:t>
      </w:r>
    </w:p>
    <w:p w:rsidR="00806896" w:rsidRPr="00BA5143" w:rsidRDefault="00806896" w:rsidP="00806896">
      <w:pPr>
        <w:ind w:firstLine="540"/>
        <w:jc w:val="both"/>
        <w:rPr>
          <w:lang w:val="en-US"/>
        </w:rPr>
      </w:pPr>
    </w:p>
    <w:p w:rsidR="00806896" w:rsidRPr="00BA5143" w:rsidRDefault="00806896" w:rsidP="00806896">
      <w:pPr>
        <w:ind w:firstLine="540"/>
        <w:jc w:val="both"/>
        <w:rPr>
          <w:lang w:val="en-US"/>
        </w:rPr>
      </w:pPr>
      <w:r w:rsidRPr="00BA5143">
        <w:rPr>
          <w:lang w:val="en-US"/>
        </w:rPr>
        <w:t>During 2018-2017 the Bank did not carry out operations with non-current assets held for sale or assets of the disposal group.</w:t>
      </w:r>
    </w:p>
    <w:p w:rsidR="00806896" w:rsidRPr="00BA5143" w:rsidRDefault="00806896" w:rsidP="00806896">
      <w:pPr>
        <w:ind w:firstLine="540"/>
        <w:jc w:val="both"/>
        <w:rPr>
          <w:lang w:val="en-US"/>
        </w:rPr>
      </w:pPr>
    </w:p>
    <w:p w:rsidR="00135217" w:rsidRPr="00BA5143" w:rsidRDefault="00806896" w:rsidP="00806896">
      <w:pPr>
        <w:ind w:firstLine="540"/>
        <w:jc w:val="both"/>
        <w:rPr>
          <w:b/>
          <w:bCs/>
          <w:lang w:val="en-US"/>
        </w:rPr>
      </w:pPr>
      <w:r w:rsidRPr="00BA5143">
        <w:rPr>
          <w:b/>
          <w:bCs/>
          <w:lang w:val="en-US"/>
        </w:rPr>
        <w:t>4.21. Amortization</w:t>
      </w:r>
    </w:p>
    <w:p w:rsidR="00193D1A" w:rsidRPr="00BA5143" w:rsidRDefault="00193D1A" w:rsidP="00806896">
      <w:pPr>
        <w:ind w:firstLine="540"/>
        <w:jc w:val="both"/>
        <w:rPr>
          <w:b/>
          <w:bCs/>
          <w:i/>
          <w:lang w:val="en-US"/>
        </w:rPr>
      </w:pPr>
    </w:p>
    <w:p w:rsidR="001F77A1" w:rsidRPr="00BA5143" w:rsidRDefault="00201937" w:rsidP="001F77A1">
      <w:pPr>
        <w:ind w:firstLine="708"/>
        <w:jc w:val="both"/>
        <w:rPr>
          <w:lang w:val="en-US"/>
        </w:rPr>
      </w:pPr>
      <w:r w:rsidRPr="00BA5143">
        <w:rPr>
          <w:lang w:val="en-US"/>
        </w:rPr>
        <w:t>A</w:t>
      </w:r>
      <w:r w:rsidR="001F77A1" w:rsidRPr="00BA5143">
        <w:rPr>
          <w:lang w:val="en-US"/>
        </w:rPr>
        <w:t>mortization is subject to the value of all non-current (tangible and intangible) assets (except for land value and capital investments in progress) on a systematic basis over the useful life of the asset, which is established by the bank during their initial recognition.</w:t>
      </w:r>
    </w:p>
    <w:p w:rsidR="001F77A1" w:rsidRPr="00BA5143" w:rsidRDefault="001F77A1" w:rsidP="001F77A1">
      <w:pPr>
        <w:ind w:firstLine="708"/>
        <w:jc w:val="both"/>
        <w:rPr>
          <w:lang w:val="en-US"/>
        </w:rPr>
      </w:pPr>
      <w:r w:rsidRPr="00BA5143">
        <w:rPr>
          <w:lang w:val="en-US"/>
        </w:rPr>
        <w:t>Depreciation is not charged if the carrying amount of non-current assets equals their liquidation value.</w:t>
      </w:r>
    </w:p>
    <w:p w:rsidR="001F77A1" w:rsidRPr="00BA5143" w:rsidRDefault="001F77A1" w:rsidP="001F77A1">
      <w:pPr>
        <w:ind w:firstLine="708"/>
        <w:jc w:val="both"/>
        <w:rPr>
          <w:lang w:val="en-US"/>
        </w:rPr>
      </w:pPr>
      <w:r w:rsidRPr="00BA5143">
        <w:rPr>
          <w:lang w:val="en-US"/>
        </w:rPr>
        <w:t>Depreciation charges are defined as administrative and other expenses in the statement of income.</w:t>
      </w:r>
    </w:p>
    <w:p w:rsidR="001F77A1" w:rsidRPr="00BA5143" w:rsidRDefault="001F77A1" w:rsidP="001F77A1">
      <w:pPr>
        <w:ind w:firstLine="708"/>
        <w:jc w:val="both"/>
        <w:rPr>
          <w:lang w:val="en-US"/>
        </w:rPr>
      </w:pPr>
      <w:r w:rsidRPr="00BA5143">
        <w:rPr>
          <w:lang w:val="en-US"/>
        </w:rPr>
        <w:lastRenderedPageBreak/>
        <w:t>Depreciation of fixed assets (other than non-current tangible assets) banks are accounted for using the straight-line method, according to which the annual amount of depreciation is determined by dividing the depreciated value for the useful life of the item of property, plant and equipment.</w:t>
      </w:r>
    </w:p>
    <w:p w:rsidR="001F77A1" w:rsidRPr="00BA5143" w:rsidRDefault="001F77A1" w:rsidP="001F77A1">
      <w:pPr>
        <w:ind w:firstLine="708"/>
        <w:jc w:val="both"/>
        <w:rPr>
          <w:lang w:val="en-US"/>
        </w:rPr>
      </w:pPr>
      <w:r w:rsidRPr="00BA5143">
        <w:rPr>
          <w:lang w:val="en-US"/>
        </w:rPr>
        <w:t>The range of useful life (exploitation) of fixed assets is from 3 to 75 years, including:</w:t>
      </w:r>
    </w:p>
    <w:p w:rsidR="001F77A1" w:rsidRPr="00BA5143" w:rsidRDefault="001F77A1" w:rsidP="001F77A1">
      <w:pPr>
        <w:ind w:firstLine="708"/>
        <w:jc w:val="both"/>
        <w:rPr>
          <w:lang w:val="en-US"/>
        </w:rPr>
      </w:pPr>
      <w:r w:rsidRPr="00BA5143">
        <w:rPr>
          <w:lang w:val="en-US"/>
        </w:rPr>
        <w:t>- buildings 75 years old;</w:t>
      </w:r>
    </w:p>
    <w:p w:rsidR="001F77A1" w:rsidRPr="00BA5143" w:rsidRDefault="001F77A1" w:rsidP="001F77A1">
      <w:pPr>
        <w:ind w:firstLine="708"/>
        <w:jc w:val="both"/>
        <w:rPr>
          <w:lang w:val="en-US"/>
        </w:rPr>
      </w:pPr>
      <w:r w:rsidRPr="00BA5143">
        <w:rPr>
          <w:lang w:val="en-US"/>
        </w:rPr>
        <w:t>- machinery and equipment - 5-7 years;</w:t>
      </w:r>
    </w:p>
    <w:p w:rsidR="001F77A1" w:rsidRPr="00BA5143" w:rsidRDefault="001F77A1" w:rsidP="001F77A1">
      <w:pPr>
        <w:ind w:firstLine="708"/>
        <w:jc w:val="both"/>
        <w:rPr>
          <w:lang w:val="en-US"/>
        </w:rPr>
      </w:pPr>
      <w:r w:rsidRPr="00BA5143">
        <w:rPr>
          <w:lang w:val="en-US"/>
        </w:rPr>
        <w:t>- Instruments, instruments and equipment - 4 years;</w:t>
      </w:r>
    </w:p>
    <w:p w:rsidR="001F77A1" w:rsidRPr="00BA5143" w:rsidRDefault="001F77A1" w:rsidP="001F77A1">
      <w:pPr>
        <w:ind w:firstLine="708"/>
        <w:jc w:val="both"/>
        <w:rPr>
          <w:lang w:val="en-US"/>
        </w:rPr>
      </w:pPr>
      <w:r w:rsidRPr="00BA5143">
        <w:rPr>
          <w:lang w:val="en-US"/>
        </w:rPr>
        <w:t>- information systems and other machines for automatic information processing - 5 years;</w:t>
      </w:r>
    </w:p>
    <w:p w:rsidR="001F77A1" w:rsidRPr="00BA5143" w:rsidRDefault="001F77A1" w:rsidP="001F77A1">
      <w:pPr>
        <w:ind w:firstLine="708"/>
        <w:jc w:val="both"/>
        <w:rPr>
          <w:lang w:val="en-US"/>
        </w:rPr>
      </w:pPr>
      <w:r w:rsidRPr="00BA5143">
        <w:rPr>
          <w:lang w:val="en-US"/>
        </w:rPr>
        <w:t>- other fixed assets - 12 years.</w:t>
      </w:r>
    </w:p>
    <w:p w:rsidR="001F77A1" w:rsidRPr="00BA5143" w:rsidRDefault="001F77A1" w:rsidP="001F77A1">
      <w:pPr>
        <w:ind w:firstLine="708"/>
        <w:jc w:val="both"/>
        <w:rPr>
          <w:lang w:val="en-US"/>
        </w:rPr>
      </w:pPr>
      <w:r w:rsidRPr="00BA5143">
        <w:rPr>
          <w:lang w:val="en-US"/>
        </w:rPr>
        <w:t>During the reporting year, useful life of fixed assets has been revised, but has not changed.</w:t>
      </w:r>
    </w:p>
    <w:p w:rsidR="001F77A1" w:rsidRPr="00BA5143" w:rsidRDefault="001F77A1" w:rsidP="001F77A1">
      <w:pPr>
        <w:rPr>
          <w:color w:val="000000"/>
          <w:shd w:val="clear" w:color="auto" w:fill="FFFFFF"/>
          <w:lang w:val="en-US"/>
        </w:rPr>
      </w:pPr>
      <w:r w:rsidRPr="00BA5143">
        <w:rPr>
          <w:color w:val="000000"/>
          <w:shd w:val="clear" w:color="auto" w:fill="FFFFFF"/>
          <w:lang w:val="en-US"/>
        </w:rPr>
        <w:t>Depreciation of low-value non-current tangible assets and library funds is accrued in the first month of the use of an object in the amount of 100 percent of its value.</w:t>
      </w:r>
    </w:p>
    <w:p w:rsidR="001F77A1" w:rsidRPr="00BA5143" w:rsidRDefault="001F77A1" w:rsidP="001F77A1">
      <w:pPr>
        <w:rPr>
          <w:color w:val="000000"/>
          <w:shd w:val="clear" w:color="auto" w:fill="FFFFFF"/>
          <w:lang w:val="en-US"/>
        </w:rPr>
      </w:pPr>
      <w:r w:rsidRPr="00BA5143">
        <w:rPr>
          <w:color w:val="000000"/>
          <w:shd w:val="clear" w:color="auto" w:fill="FFFFFF"/>
          <w:lang w:val="en-US"/>
        </w:rPr>
        <w:t>Amortization of intangible assets is accrued using the straight-line method, which is that the economic benefits from intangible assets are fully utilized throughout their term of service.</w:t>
      </w:r>
    </w:p>
    <w:p w:rsidR="001F77A1" w:rsidRPr="00BA5143" w:rsidRDefault="001F77A1" w:rsidP="001F77A1">
      <w:pPr>
        <w:rPr>
          <w:color w:val="000000"/>
          <w:shd w:val="clear" w:color="auto" w:fill="FFFFFF"/>
          <w:lang w:val="en-US"/>
        </w:rPr>
      </w:pPr>
      <w:r w:rsidRPr="00BA5143">
        <w:rPr>
          <w:color w:val="000000"/>
          <w:shd w:val="clear" w:color="auto" w:fill="FFFFFF"/>
          <w:lang w:val="en-US"/>
        </w:rPr>
        <w:t>The useful lives of intangible assets in the reporting year 2018 were reviewed but not changed.</w:t>
      </w:r>
    </w:p>
    <w:p w:rsidR="001F77A1" w:rsidRPr="00BA5143" w:rsidRDefault="001F77A1" w:rsidP="001F77A1">
      <w:pPr>
        <w:rPr>
          <w:color w:val="000000"/>
          <w:shd w:val="clear" w:color="auto" w:fill="FFFFFF"/>
          <w:lang w:val="en-US"/>
        </w:rPr>
      </w:pPr>
      <w:r w:rsidRPr="00BA5143">
        <w:rPr>
          <w:color w:val="000000"/>
          <w:shd w:val="clear" w:color="auto" w:fill="FFFFFF"/>
          <w:lang w:val="en-US"/>
        </w:rPr>
        <w:t>When changing the depreciation method or setting a new useful life, these changes apply from the month following the month in which they occurred.</w:t>
      </w:r>
    </w:p>
    <w:p w:rsidR="00375A79" w:rsidRPr="00BA5143" w:rsidRDefault="001F77A1" w:rsidP="001F77A1">
      <w:pPr>
        <w:rPr>
          <w:color w:val="000000"/>
          <w:shd w:val="clear" w:color="auto" w:fill="FFFFFF"/>
          <w:lang w:val="en-US"/>
        </w:rPr>
      </w:pPr>
      <w:r w:rsidRPr="00BA5143">
        <w:rPr>
          <w:color w:val="000000"/>
          <w:shd w:val="clear" w:color="auto" w:fill="FFFFFF"/>
          <w:lang w:val="en-US"/>
        </w:rPr>
        <w:t>Depreciation is charged on a monthly basis. Monthly amount of depreciation is determined by dividing the amortization amount for the full year of useful use by 12.</w:t>
      </w:r>
    </w:p>
    <w:p w:rsidR="001F77A1" w:rsidRPr="00BA5143" w:rsidRDefault="001F77A1" w:rsidP="001F77A1">
      <w:pPr>
        <w:rPr>
          <w:b/>
          <w:bCs/>
          <w:color w:val="000000"/>
          <w:shd w:val="clear" w:color="auto" w:fill="FFFFFF"/>
          <w:lang w:val="en-US"/>
        </w:rPr>
      </w:pPr>
    </w:p>
    <w:p w:rsidR="004C0461" w:rsidRPr="00BA5143" w:rsidRDefault="004C0461" w:rsidP="004C0461">
      <w:pPr>
        <w:pStyle w:val="25"/>
        <w:jc w:val="both"/>
        <w:rPr>
          <w:b/>
          <w:iCs/>
          <w:sz w:val="24"/>
          <w:szCs w:val="24"/>
          <w:lang w:val="en-US"/>
        </w:rPr>
      </w:pPr>
      <w:r w:rsidRPr="00BA5143">
        <w:rPr>
          <w:b/>
          <w:iCs/>
          <w:sz w:val="24"/>
          <w:szCs w:val="24"/>
          <w:lang w:val="en-US"/>
        </w:rPr>
        <w:t>4.22. Stopped activity</w:t>
      </w:r>
    </w:p>
    <w:p w:rsidR="004C0461" w:rsidRPr="00BA5143" w:rsidRDefault="004C0461" w:rsidP="004C0461">
      <w:pPr>
        <w:pStyle w:val="25"/>
        <w:jc w:val="both"/>
        <w:rPr>
          <w:bCs/>
          <w:iCs/>
          <w:sz w:val="24"/>
          <w:szCs w:val="24"/>
          <w:lang w:val="en-US"/>
        </w:rPr>
      </w:pPr>
    </w:p>
    <w:p w:rsidR="004C0461" w:rsidRPr="00BA5143" w:rsidRDefault="004C0461" w:rsidP="004C0461">
      <w:pPr>
        <w:pStyle w:val="25"/>
        <w:jc w:val="both"/>
        <w:rPr>
          <w:bCs/>
          <w:iCs/>
          <w:sz w:val="24"/>
          <w:szCs w:val="24"/>
          <w:lang w:val="en-US"/>
        </w:rPr>
      </w:pPr>
      <w:r w:rsidRPr="00BA5143">
        <w:rPr>
          <w:bCs/>
          <w:iCs/>
          <w:sz w:val="24"/>
          <w:szCs w:val="24"/>
          <w:lang w:val="en-US"/>
        </w:rPr>
        <w:t>The component of the Bank in accordance with the provisions of IFRS 5 Non-current Assets Held for Sale and Discontinued Operations that was liquidated or classified as held for sale, which is a separate business line or geographic region of activity, or is part of a coordinated plan for liquidation of a separate main business line, for 2017-2018 the Bank is absent.</w:t>
      </w:r>
    </w:p>
    <w:p w:rsidR="004C0461" w:rsidRPr="00BA5143" w:rsidRDefault="004C0461" w:rsidP="004C0461">
      <w:pPr>
        <w:pStyle w:val="25"/>
        <w:jc w:val="both"/>
        <w:rPr>
          <w:b/>
          <w:i/>
          <w:sz w:val="24"/>
          <w:szCs w:val="24"/>
          <w:lang w:val="en-US"/>
        </w:rPr>
      </w:pPr>
    </w:p>
    <w:p w:rsidR="004C0461" w:rsidRPr="00BA5143" w:rsidRDefault="004C0461" w:rsidP="004C0461">
      <w:pPr>
        <w:pStyle w:val="25"/>
        <w:jc w:val="both"/>
        <w:rPr>
          <w:b/>
          <w:iCs/>
          <w:sz w:val="24"/>
          <w:szCs w:val="24"/>
          <w:lang w:val="en-US"/>
        </w:rPr>
      </w:pPr>
      <w:r w:rsidRPr="00BA5143">
        <w:rPr>
          <w:b/>
          <w:iCs/>
          <w:sz w:val="24"/>
          <w:szCs w:val="24"/>
          <w:lang w:val="en-US"/>
        </w:rPr>
        <w:t>4.23. Derivative financial instruments</w:t>
      </w:r>
    </w:p>
    <w:p w:rsidR="004C0461" w:rsidRPr="00BA5143" w:rsidRDefault="004C0461" w:rsidP="004C0461">
      <w:pPr>
        <w:pStyle w:val="25"/>
        <w:jc w:val="both"/>
        <w:rPr>
          <w:b/>
          <w:i/>
          <w:sz w:val="24"/>
          <w:szCs w:val="24"/>
          <w:lang w:val="en-US"/>
        </w:rPr>
      </w:pPr>
    </w:p>
    <w:p w:rsidR="004C0461" w:rsidRPr="00BA5143" w:rsidRDefault="004C0461" w:rsidP="004C0461">
      <w:pPr>
        <w:pStyle w:val="25"/>
        <w:jc w:val="both"/>
        <w:rPr>
          <w:bCs/>
          <w:iCs/>
          <w:sz w:val="24"/>
          <w:szCs w:val="24"/>
          <w:lang w:val="en-US"/>
        </w:rPr>
      </w:pPr>
      <w:r w:rsidRPr="00BA5143">
        <w:rPr>
          <w:bCs/>
          <w:iCs/>
          <w:sz w:val="24"/>
          <w:szCs w:val="24"/>
          <w:lang w:val="en-US"/>
        </w:rPr>
        <w:t>During 2018-2017 the Bank did not carry out transactions with financial derivative instruments.</w:t>
      </w:r>
    </w:p>
    <w:p w:rsidR="004C0461" w:rsidRPr="00BA5143" w:rsidRDefault="004C0461" w:rsidP="004C0461">
      <w:pPr>
        <w:pStyle w:val="25"/>
        <w:jc w:val="both"/>
        <w:rPr>
          <w:b/>
          <w:i/>
          <w:sz w:val="24"/>
          <w:szCs w:val="24"/>
          <w:lang w:val="en-US"/>
        </w:rPr>
      </w:pPr>
    </w:p>
    <w:p w:rsidR="004C0461" w:rsidRPr="00BA5143" w:rsidRDefault="004C0461" w:rsidP="004C0461">
      <w:pPr>
        <w:pStyle w:val="25"/>
        <w:jc w:val="both"/>
        <w:rPr>
          <w:b/>
          <w:iCs/>
          <w:sz w:val="24"/>
          <w:szCs w:val="24"/>
          <w:lang w:val="en-US"/>
        </w:rPr>
      </w:pPr>
      <w:r w:rsidRPr="00BA5143">
        <w:rPr>
          <w:b/>
          <w:iCs/>
          <w:sz w:val="24"/>
          <w:szCs w:val="24"/>
          <w:lang w:val="en-US"/>
        </w:rPr>
        <w:t>4.24. Attracted funds</w:t>
      </w:r>
    </w:p>
    <w:p w:rsidR="004C0461" w:rsidRPr="00BA5143" w:rsidRDefault="004C0461" w:rsidP="004C0461">
      <w:pPr>
        <w:pStyle w:val="25"/>
        <w:jc w:val="both"/>
        <w:rPr>
          <w:b/>
          <w:i/>
          <w:sz w:val="24"/>
          <w:szCs w:val="24"/>
          <w:lang w:val="en-US"/>
        </w:rPr>
      </w:pPr>
    </w:p>
    <w:p w:rsidR="004C0461" w:rsidRPr="00BA5143" w:rsidRDefault="004C0461" w:rsidP="004C0461">
      <w:pPr>
        <w:pStyle w:val="25"/>
        <w:jc w:val="both"/>
        <w:rPr>
          <w:bCs/>
          <w:iCs/>
          <w:sz w:val="24"/>
          <w:szCs w:val="24"/>
          <w:lang w:val="en-US"/>
        </w:rPr>
      </w:pPr>
      <w:r w:rsidRPr="00BA5143">
        <w:rPr>
          <w:bCs/>
          <w:iCs/>
          <w:sz w:val="24"/>
          <w:szCs w:val="24"/>
          <w:lang w:val="en-US"/>
        </w:rPr>
        <w:t>The funds borrowed from the Bank include clients' funds.</w:t>
      </w:r>
    </w:p>
    <w:p w:rsidR="004C0461" w:rsidRPr="00BA5143" w:rsidRDefault="004C0461" w:rsidP="004C0461">
      <w:pPr>
        <w:pStyle w:val="25"/>
        <w:jc w:val="both"/>
        <w:rPr>
          <w:bCs/>
          <w:iCs/>
          <w:sz w:val="24"/>
          <w:szCs w:val="24"/>
          <w:lang w:val="en-US"/>
        </w:rPr>
      </w:pPr>
      <w:r w:rsidRPr="00BA5143">
        <w:rPr>
          <w:bCs/>
          <w:iCs/>
          <w:sz w:val="24"/>
          <w:szCs w:val="24"/>
          <w:lang w:val="en-US"/>
        </w:rPr>
        <w:t>Borrowings initially recognized are measured at their fair value less costs incurred. After initial recognition, attracted funds are measured at amortized cost using the effective interest rate method.</w:t>
      </w:r>
    </w:p>
    <w:p w:rsidR="004C0461" w:rsidRPr="00BA5143" w:rsidRDefault="004C0461" w:rsidP="004C0461">
      <w:pPr>
        <w:pStyle w:val="25"/>
        <w:jc w:val="both"/>
        <w:rPr>
          <w:bCs/>
          <w:iCs/>
          <w:sz w:val="24"/>
          <w:szCs w:val="24"/>
          <w:lang w:val="en-US"/>
        </w:rPr>
      </w:pPr>
      <w:r w:rsidRPr="00BA5143">
        <w:rPr>
          <w:bCs/>
          <w:iCs/>
          <w:sz w:val="24"/>
          <w:szCs w:val="24"/>
          <w:lang w:val="en-US"/>
        </w:rPr>
        <w:t>For the use of funds registered in the client's account, the bank pays interest, the amount of which is credited to the account, unless otherwise specified by the bank account agreement or by law.</w:t>
      </w:r>
    </w:p>
    <w:p w:rsidR="004C0461" w:rsidRPr="00BA5143" w:rsidRDefault="004C0461" w:rsidP="004C0461">
      <w:pPr>
        <w:pStyle w:val="25"/>
        <w:jc w:val="both"/>
        <w:rPr>
          <w:bCs/>
          <w:iCs/>
          <w:sz w:val="24"/>
          <w:szCs w:val="24"/>
          <w:lang w:val="en-US"/>
        </w:rPr>
      </w:pPr>
      <w:r w:rsidRPr="00BA5143">
        <w:rPr>
          <w:bCs/>
          <w:iCs/>
          <w:sz w:val="24"/>
          <w:szCs w:val="24"/>
          <w:lang w:val="en-US"/>
        </w:rPr>
        <w:t>The Bank records interest expenses on clients' funds in the accounting and depreciates the discount (premium) using the effective interest rate.</w:t>
      </w:r>
    </w:p>
    <w:p w:rsidR="004C0461" w:rsidRPr="00BA5143" w:rsidRDefault="004C0461" w:rsidP="004C0461">
      <w:pPr>
        <w:pStyle w:val="25"/>
        <w:jc w:val="both"/>
        <w:rPr>
          <w:bCs/>
          <w:iCs/>
          <w:sz w:val="24"/>
          <w:szCs w:val="24"/>
          <w:lang w:val="en-US"/>
        </w:rPr>
      </w:pPr>
      <w:r w:rsidRPr="00BA5143">
        <w:rPr>
          <w:bCs/>
          <w:iCs/>
          <w:sz w:val="24"/>
          <w:szCs w:val="24"/>
          <w:lang w:val="en-US"/>
        </w:rPr>
        <w:t>The funds attracted by the bank on a deposit are subject to obligatory reservation in the amount of the established norms of mandatory reserve for banks of Ukraine in accordance with the current legislation.</w:t>
      </w:r>
    </w:p>
    <w:p w:rsidR="004C0461" w:rsidRPr="00BA5143" w:rsidRDefault="004C0461" w:rsidP="004C0461">
      <w:pPr>
        <w:pStyle w:val="25"/>
        <w:jc w:val="both"/>
        <w:rPr>
          <w:bCs/>
          <w:iCs/>
          <w:sz w:val="24"/>
          <w:szCs w:val="24"/>
          <w:lang w:val="en-US"/>
        </w:rPr>
      </w:pPr>
      <w:r w:rsidRPr="00BA5143">
        <w:rPr>
          <w:bCs/>
          <w:iCs/>
          <w:sz w:val="24"/>
          <w:szCs w:val="24"/>
          <w:lang w:val="en-US"/>
        </w:rPr>
        <w:t>During 2017-2018 the Bank did not issue debt securities.</w:t>
      </w:r>
    </w:p>
    <w:p w:rsidR="00571792" w:rsidRPr="00BA5143" w:rsidRDefault="00571792" w:rsidP="00571792">
      <w:pPr>
        <w:pStyle w:val="a4"/>
        <w:ind w:firstLine="540"/>
        <w:jc w:val="both"/>
        <w:rPr>
          <w:b/>
          <w:iCs/>
          <w:lang w:val="en-US"/>
        </w:rPr>
      </w:pPr>
      <w:r w:rsidRPr="00BA5143">
        <w:rPr>
          <w:b/>
          <w:iCs/>
          <w:lang w:val="en-US"/>
        </w:rPr>
        <w:t>4.25. Financial liabilities at fair value through profit or loss.</w:t>
      </w:r>
    </w:p>
    <w:p w:rsidR="00571792" w:rsidRPr="00BA5143" w:rsidRDefault="00571792" w:rsidP="00C13E4C">
      <w:pPr>
        <w:pStyle w:val="a4"/>
        <w:ind w:firstLine="540"/>
        <w:jc w:val="both"/>
        <w:rPr>
          <w:bCs/>
          <w:iCs/>
          <w:lang w:val="en-US"/>
        </w:rPr>
      </w:pPr>
      <w:r w:rsidRPr="00BA5143">
        <w:rPr>
          <w:bCs/>
          <w:iCs/>
          <w:lang w:val="en-US"/>
        </w:rPr>
        <w:lastRenderedPageBreak/>
        <w:t>During the reporting year 2018 and previous 2017, the bank had no financial liabilities at fair value through profit or loss.</w:t>
      </w:r>
    </w:p>
    <w:p w:rsidR="00571792" w:rsidRPr="00BA5143" w:rsidRDefault="00571792" w:rsidP="00571792">
      <w:pPr>
        <w:pStyle w:val="a4"/>
        <w:ind w:firstLine="540"/>
        <w:jc w:val="both"/>
        <w:rPr>
          <w:b/>
          <w:iCs/>
          <w:lang w:val="en-US"/>
        </w:rPr>
      </w:pPr>
      <w:r w:rsidRPr="00BA5143">
        <w:rPr>
          <w:b/>
          <w:iCs/>
          <w:lang w:val="en-US"/>
        </w:rPr>
        <w:t>4.26. Debt securities issued by the bank</w:t>
      </w:r>
    </w:p>
    <w:p w:rsidR="00571792" w:rsidRPr="00BA5143" w:rsidRDefault="00571792" w:rsidP="00C13E4C">
      <w:pPr>
        <w:pStyle w:val="a4"/>
        <w:ind w:firstLine="540"/>
        <w:jc w:val="both"/>
        <w:rPr>
          <w:bCs/>
          <w:iCs/>
          <w:lang w:val="en-US"/>
        </w:rPr>
      </w:pPr>
      <w:r w:rsidRPr="00BA5143">
        <w:rPr>
          <w:bCs/>
          <w:iCs/>
          <w:lang w:val="en-US"/>
        </w:rPr>
        <w:t>In the reporting period, the Bank did not issue debt securities.</w:t>
      </w:r>
    </w:p>
    <w:p w:rsidR="00571792" w:rsidRPr="00BA5143" w:rsidRDefault="00571792" w:rsidP="00571792">
      <w:pPr>
        <w:pStyle w:val="a4"/>
        <w:ind w:firstLine="540"/>
        <w:jc w:val="both"/>
        <w:rPr>
          <w:b/>
          <w:iCs/>
          <w:lang w:val="en-US"/>
        </w:rPr>
      </w:pPr>
      <w:r w:rsidRPr="00BA5143">
        <w:rPr>
          <w:b/>
          <w:iCs/>
          <w:lang w:val="en-US"/>
        </w:rPr>
        <w:t>4.27. Reserves for obligations</w:t>
      </w:r>
    </w:p>
    <w:p w:rsidR="00571792" w:rsidRPr="00BA5143" w:rsidRDefault="00571792" w:rsidP="00571792">
      <w:pPr>
        <w:pStyle w:val="a4"/>
        <w:ind w:firstLine="540"/>
        <w:jc w:val="both"/>
        <w:rPr>
          <w:bCs/>
          <w:iCs/>
          <w:lang w:val="en-US"/>
        </w:rPr>
      </w:pPr>
      <w:r w:rsidRPr="00BA5143">
        <w:rPr>
          <w:bCs/>
          <w:iCs/>
          <w:lang w:val="en-US"/>
        </w:rPr>
        <w:t>Provisions are recognized in the financial statements of the Bank when the Bank has a present legal or constructive obligation as a result of past events and when it is probable that an outflow of resources foreseen for economic benefits will be required to settle such an obligation, and the amount of that obligation can be calculated with a sufficient level of accuracy.</w:t>
      </w:r>
    </w:p>
    <w:p w:rsidR="00571792" w:rsidRPr="00BA5143" w:rsidRDefault="00571792" w:rsidP="00571792">
      <w:pPr>
        <w:pStyle w:val="a4"/>
        <w:ind w:firstLine="540"/>
        <w:jc w:val="both"/>
        <w:rPr>
          <w:bCs/>
          <w:iCs/>
          <w:lang w:val="en-US"/>
        </w:rPr>
      </w:pPr>
      <w:r w:rsidRPr="00BA5143">
        <w:rPr>
          <w:bCs/>
          <w:iCs/>
          <w:lang w:val="en-US"/>
        </w:rPr>
        <w:t>The following obligations under which the Bank recognizes the reserves include the following obligations:</w:t>
      </w:r>
    </w:p>
    <w:p w:rsidR="00571792" w:rsidRPr="00BA5143" w:rsidRDefault="00571792" w:rsidP="00571792">
      <w:pPr>
        <w:pStyle w:val="a4"/>
        <w:ind w:firstLine="540"/>
        <w:jc w:val="both"/>
        <w:rPr>
          <w:bCs/>
          <w:iCs/>
          <w:lang w:val="en-US"/>
        </w:rPr>
      </w:pPr>
      <w:r w:rsidRPr="00BA5143">
        <w:rPr>
          <w:bCs/>
          <w:iCs/>
          <w:lang w:val="en-US"/>
        </w:rPr>
        <w:t>- loan commitments;</w:t>
      </w:r>
    </w:p>
    <w:p w:rsidR="00571792" w:rsidRPr="00BA5143" w:rsidRDefault="00571792" w:rsidP="00571792">
      <w:pPr>
        <w:pStyle w:val="a4"/>
        <w:ind w:firstLine="540"/>
        <w:jc w:val="both"/>
        <w:rPr>
          <w:bCs/>
          <w:iCs/>
          <w:lang w:val="en-US"/>
        </w:rPr>
      </w:pPr>
      <w:r w:rsidRPr="00BA5143">
        <w:rPr>
          <w:bCs/>
          <w:iCs/>
          <w:lang w:val="en-US"/>
        </w:rPr>
        <w:t>- potential tax liabilities;</w:t>
      </w:r>
    </w:p>
    <w:p w:rsidR="00571792" w:rsidRPr="00BA5143" w:rsidRDefault="00571792" w:rsidP="00571792">
      <w:pPr>
        <w:pStyle w:val="a4"/>
        <w:ind w:firstLine="540"/>
        <w:jc w:val="both"/>
        <w:rPr>
          <w:bCs/>
          <w:iCs/>
          <w:lang w:val="en-US"/>
        </w:rPr>
      </w:pPr>
      <w:r w:rsidRPr="00BA5143">
        <w:rPr>
          <w:bCs/>
          <w:iCs/>
          <w:lang w:val="en-US"/>
        </w:rPr>
        <w:t>- obligations on employee benefits, including obligations to pay unused vacation;</w:t>
      </w:r>
    </w:p>
    <w:p w:rsidR="00571792" w:rsidRPr="00BA5143" w:rsidRDefault="00571792" w:rsidP="00571792">
      <w:pPr>
        <w:pStyle w:val="a4"/>
        <w:spacing w:before="0" w:beforeAutospacing="0" w:after="0" w:afterAutospacing="0"/>
        <w:ind w:firstLine="540"/>
        <w:jc w:val="both"/>
        <w:rPr>
          <w:bCs/>
          <w:iCs/>
          <w:lang w:val="en-US"/>
        </w:rPr>
      </w:pPr>
      <w:r w:rsidRPr="00BA5143">
        <w:rPr>
          <w:bCs/>
          <w:iCs/>
          <w:lang w:val="en-US"/>
        </w:rPr>
        <w:t>- others.</w:t>
      </w:r>
    </w:p>
    <w:p w:rsidR="00571792" w:rsidRPr="00BA5143" w:rsidRDefault="00571792" w:rsidP="00571792">
      <w:pPr>
        <w:pStyle w:val="25"/>
        <w:ind w:firstLine="540"/>
        <w:jc w:val="both"/>
        <w:rPr>
          <w:color w:val="000000"/>
          <w:sz w:val="24"/>
          <w:szCs w:val="24"/>
          <w:lang w:val="en-US"/>
        </w:rPr>
      </w:pPr>
      <w:r w:rsidRPr="00BA5143">
        <w:rPr>
          <w:color w:val="000000"/>
          <w:sz w:val="24"/>
          <w:szCs w:val="24"/>
          <w:lang w:val="en-US"/>
        </w:rPr>
        <w:t>Provisions for provided financial liabilities are a guarantee of their future performance, which is recognized in the balance sheet of the bank as a liability and indicates possible penalties as a result of the retirement of resources associated with the implementation of such financial liabilities.</w:t>
      </w:r>
    </w:p>
    <w:p w:rsidR="00571792" w:rsidRPr="00BA5143" w:rsidRDefault="00571792" w:rsidP="00571792">
      <w:pPr>
        <w:pStyle w:val="25"/>
        <w:ind w:firstLine="540"/>
        <w:jc w:val="both"/>
        <w:rPr>
          <w:color w:val="000000"/>
          <w:sz w:val="24"/>
          <w:szCs w:val="24"/>
          <w:lang w:val="en-US"/>
        </w:rPr>
      </w:pPr>
      <w:r w:rsidRPr="00BA5143">
        <w:rPr>
          <w:color w:val="000000"/>
          <w:sz w:val="24"/>
          <w:szCs w:val="24"/>
          <w:lang w:val="en-US"/>
        </w:rPr>
        <w:t xml:space="preserve">The Bank undertakes commitments related to lending, including loan commitments, which are generally recognized in the amount of fees received and disclosed in the financial statements at fair value. This amount is amortized on a straight-line basis over the life of the obligation, except for the obligation to provide loans, if it is probable that the Bank will enter into a specific loan agreement and does not expect to realize the relevant loan within a short time after this provision. Such a loan for the loan is related to future periods and is included in the carrying amount of the loan at initial recognition. As at the end of each reporting period, commitments related to lending are valued at the highest of two amounts: the </w:t>
      </w:r>
      <w:r w:rsidR="00201937" w:rsidRPr="00BA5143">
        <w:rPr>
          <w:color w:val="000000"/>
          <w:sz w:val="24"/>
          <w:szCs w:val="24"/>
          <w:lang w:val="en-US"/>
        </w:rPr>
        <w:t>unamortized</w:t>
      </w:r>
      <w:r w:rsidRPr="00BA5143">
        <w:rPr>
          <w:color w:val="000000"/>
          <w:sz w:val="24"/>
          <w:szCs w:val="24"/>
          <w:lang w:val="en-US"/>
        </w:rPr>
        <w:t xml:space="preserve"> balance of the respective amount at initial recognition or estimated costs necessary to settle the liability at the end of the period.</w:t>
      </w:r>
    </w:p>
    <w:p w:rsidR="00571792" w:rsidRPr="00BA5143" w:rsidRDefault="00571792" w:rsidP="00571792">
      <w:pPr>
        <w:pStyle w:val="25"/>
        <w:ind w:firstLine="540"/>
        <w:jc w:val="both"/>
        <w:rPr>
          <w:color w:val="000000"/>
          <w:sz w:val="24"/>
          <w:szCs w:val="24"/>
          <w:lang w:val="en-US"/>
        </w:rPr>
      </w:pPr>
      <w:r w:rsidRPr="00BA5143">
        <w:rPr>
          <w:color w:val="000000"/>
          <w:sz w:val="24"/>
          <w:szCs w:val="24"/>
          <w:lang w:val="en-US"/>
        </w:rPr>
        <w:t>Reserves that are formed by the bank to cover expenses for the payment of unused vacation are reflected in the "Other liabilities" of the Statement of financial position and in the item "</w:t>
      </w:r>
      <w:r w:rsidR="00793AA3" w:rsidRPr="00BA5143">
        <w:rPr>
          <w:color w:val="000000"/>
          <w:sz w:val="24"/>
          <w:szCs w:val="24"/>
          <w:lang w:val="en-US"/>
        </w:rPr>
        <w:t>E</w:t>
      </w:r>
      <w:r w:rsidRPr="00BA5143">
        <w:rPr>
          <w:color w:val="000000"/>
          <w:sz w:val="24"/>
          <w:szCs w:val="24"/>
          <w:lang w:val="en-US"/>
        </w:rPr>
        <w:t>mployees</w:t>
      </w:r>
      <w:r w:rsidR="00793AA3" w:rsidRPr="00BA5143">
        <w:rPr>
          <w:color w:val="000000"/>
          <w:sz w:val="24"/>
          <w:szCs w:val="24"/>
          <w:lang w:val="en-US"/>
        </w:rPr>
        <w:t xml:space="preserve"> benefits</w:t>
      </w:r>
      <w:r w:rsidRPr="00BA5143">
        <w:rPr>
          <w:color w:val="000000"/>
          <w:sz w:val="24"/>
          <w:szCs w:val="24"/>
          <w:lang w:val="en-US"/>
        </w:rPr>
        <w:t>" Income Statement.</w:t>
      </w:r>
    </w:p>
    <w:p w:rsidR="00571792" w:rsidRPr="00BA5143" w:rsidRDefault="00571792" w:rsidP="00571792">
      <w:pPr>
        <w:pStyle w:val="25"/>
        <w:ind w:firstLine="540"/>
        <w:jc w:val="both"/>
        <w:rPr>
          <w:color w:val="000000"/>
          <w:sz w:val="24"/>
          <w:szCs w:val="24"/>
          <w:lang w:val="en-US"/>
        </w:rPr>
      </w:pPr>
    </w:p>
    <w:p w:rsidR="00176100" w:rsidRPr="00BA5143" w:rsidRDefault="00176100" w:rsidP="00571792">
      <w:pPr>
        <w:pStyle w:val="25"/>
        <w:ind w:firstLine="540"/>
        <w:jc w:val="both"/>
        <w:rPr>
          <w:b/>
          <w:iCs/>
          <w:sz w:val="24"/>
          <w:szCs w:val="24"/>
          <w:lang w:val="en-US"/>
        </w:rPr>
      </w:pPr>
      <w:r w:rsidRPr="00BA5143">
        <w:rPr>
          <w:b/>
          <w:iCs/>
          <w:sz w:val="24"/>
          <w:szCs w:val="24"/>
          <w:lang w:val="en-US"/>
        </w:rPr>
        <w:t>4.2</w:t>
      </w:r>
      <w:r w:rsidR="008C2001" w:rsidRPr="00BA5143">
        <w:rPr>
          <w:b/>
          <w:iCs/>
          <w:sz w:val="24"/>
          <w:szCs w:val="24"/>
          <w:lang w:val="en-US"/>
        </w:rPr>
        <w:t>8</w:t>
      </w:r>
      <w:r w:rsidRPr="00BA5143">
        <w:rPr>
          <w:b/>
          <w:iCs/>
          <w:sz w:val="24"/>
          <w:szCs w:val="24"/>
          <w:lang w:val="en-US"/>
        </w:rPr>
        <w:t xml:space="preserve">. </w:t>
      </w:r>
      <w:r w:rsidR="00793AA3" w:rsidRPr="00BA5143">
        <w:rPr>
          <w:b/>
          <w:iCs/>
          <w:sz w:val="24"/>
          <w:szCs w:val="24"/>
          <w:lang w:val="en-US"/>
        </w:rPr>
        <w:t>Subordinated debt</w:t>
      </w:r>
    </w:p>
    <w:p w:rsidR="00176100" w:rsidRPr="00BA5143" w:rsidRDefault="00176100" w:rsidP="00176100">
      <w:pPr>
        <w:pStyle w:val="25"/>
        <w:ind w:firstLine="540"/>
        <w:jc w:val="both"/>
        <w:rPr>
          <w:sz w:val="24"/>
          <w:szCs w:val="24"/>
          <w:lang w:val="en-US"/>
        </w:rPr>
      </w:pPr>
    </w:p>
    <w:p w:rsidR="00793AA3" w:rsidRPr="00BA5143" w:rsidRDefault="00793AA3" w:rsidP="00793AA3">
      <w:pPr>
        <w:pStyle w:val="25"/>
        <w:ind w:firstLine="540"/>
        <w:jc w:val="both"/>
        <w:rPr>
          <w:sz w:val="24"/>
          <w:szCs w:val="24"/>
          <w:lang w:val="en-US"/>
        </w:rPr>
      </w:pPr>
      <w:r w:rsidRPr="00BA5143">
        <w:rPr>
          <w:sz w:val="24"/>
          <w:szCs w:val="24"/>
          <w:lang w:val="en-US"/>
        </w:rPr>
        <w:t>Subordinated debt - long-term borrowed funds that are returned to the investor in accordance with the agreement after the repayment of claims by all other creditors and are included in the capital provided the National Bank of Ukraine receives the permit.</w:t>
      </w:r>
    </w:p>
    <w:p w:rsidR="00793AA3" w:rsidRPr="00BA5143" w:rsidRDefault="00793AA3" w:rsidP="00793AA3">
      <w:pPr>
        <w:pStyle w:val="25"/>
        <w:ind w:firstLine="540"/>
        <w:jc w:val="both"/>
        <w:rPr>
          <w:sz w:val="24"/>
          <w:szCs w:val="24"/>
          <w:lang w:val="en-US"/>
        </w:rPr>
      </w:pPr>
      <w:r w:rsidRPr="00BA5143">
        <w:rPr>
          <w:sz w:val="24"/>
          <w:szCs w:val="24"/>
          <w:lang w:val="en-US"/>
        </w:rPr>
        <w:t xml:space="preserve">Subordinated debt is initially accounted for at fair value. The Bank recognizes in the initial recognition the gain or loss for the amount of the difference between the fair value of the financial liability and the value of the contract in correspondence with the discount / premium account if the effective interest rate on this instrument is higher or lower than the market value. </w:t>
      </w:r>
      <w:r w:rsidRPr="00BA5143">
        <w:rPr>
          <w:sz w:val="24"/>
          <w:szCs w:val="24"/>
          <w:lang w:val="en-US"/>
        </w:rPr>
        <w:lastRenderedPageBreak/>
        <w:t>After initial recognition, funds raised under the terms of a subordinated debt are carried at amortized cost.</w:t>
      </w:r>
    </w:p>
    <w:p w:rsidR="006B4DCD" w:rsidRPr="00BA5143" w:rsidRDefault="00793AA3" w:rsidP="00793AA3">
      <w:pPr>
        <w:pStyle w:val="25"/>
        <w:ind w:firstLine="540"/>
        <w:jc w:val="both"/>
        <w:rPr>
          <w:sz w:val="24"/>
          <w:szCs w:val="24"/>
          <w:highlight w:val="yellow"/>
          <w:lang w:val="en-US"/>
        </w:rPr>
      </w:pPr>
      <w:r w:rsidRPr="00BA5143">
        <w:rPr>
          <w:sz w:val="24"/>
          <w:szCs w:val="24"/>
          <w:lang w:val="en-US"/>
        </w:rPr>
        <w:t>The cost of subordinated debt is charged by the Bank monthly from the application of the effective interest rate. Interest payments are made in accordance with the terms and conditions of the Agreement and taking into account the features specified in the Agreement on payment of interest, subject to availability of certain parameters of the Bank's activities. Accrued but unpaid interest is not capitalized, but is accounted for by the Bank when determining the carrying amount of a subordinated debt.</w:t>
      </w:r>
    </w:p>
    <w:p w:rsidR="00205DA9" w:rsidRPr="00BA5143" w:rsidRDefault="00205DA9" w:rsidP="00176100">
      <w:pPr>
        <w:pStyle w:val="25"/>
        <w:ind w:firstLine="540"/>
        <w:jc w:val="both"/>
        <w:rPr>
          <w:iCs/>
          <w:sz w:val="24"/>
          <w:szCs w:val="24"/>
          <w:highlight w:val="yellow"/>
          <w:lang w:val="en-US"/>
        </w:rPr>
      </w:pPr>
    </w:p>
    <w:p w:rsidR="0056316B" w:rsidRPr="00BA5143" w:rsidRDefault="0056316B" w:rsidP="005B68F9">
      <w:pPr>
        <w:ind w:firstLine="567"/>
        <w:jc w:val="both"/>
        <w:rPr>
          <w:b/>
          <w:iCs/>
          <w:lang w:val="en-US"/>
        </w:rPr>
      </w:pPr>
      <w:r w:rsidRPr="00BA5143">
        <w:rPr>
          <w:b/>
          <w:iCs/>
          <w:lang w:val="en-US"/>
        </w:rPr>
        <w:t>4.29. Income tax</w:t>
      </w:r>
    </w:p>
    <w:p w:rsidR="0056316B" w:rsidRPr="00BA5143" w:rsidRDefault="0056316B" w:rsidP="0056316B">
      <w:pPr>
        <w:jc w:val="both"/>
        <w:rPr>
          <w:b/>
          <w:i/>
          <w:lang w:val="en-US"/>
        </w:rPr>
      </w:pPr>
    </w:p>
    <w:p w:rsidR="0056316B" w:rsidRPr="00BA5143" w:rsidRDefault="0056316B" w:rsidP="005B68F9">
      <w:pPr>
        <w:ind w:firstLine="567"/>
        <w:jc w:val="both"/>
        <w:rPr>
          <w:bCs/>
          <w:iCs/>
          <w:lang w:val="en-US"/>
        </w:rPr>
      </w:pPr>
      <w:r w:rsidRPr="00BA5143">
        <w:rPr>
          <w:bCs/>
          <w:iCs/>
          <w:lang w:val="en-US"/>
        </w:rPr>
        <w:t>Income tax for the year consists of current and deferred taxes.</w:t>
      </w:r>
    </w:p>
    <w:p w:rsidR="0056316B" w:rsidRPr="00BA5143" w:rsidRDefault="0056316B" w:rsidP="005B68F9">
      <w:pPr>
        <w:ind w:firstLine="567"/>
        <w:jc w:val="both"/>
        <w:rPr>
          <w:bCs/>
          <w:iCs/>
          <w:lang w:val="en-US"/>
        </w:rPr>
      </w:pPr>
      <w:r w:rsidRPr="00BA5143">
        <w:rPr>
          <w:bCs/>
          <w:iCs/>
          <w:lang w:val="en-US"/>
        </w:rPr>
        <w:t>Current taxation is calculated on the basis of the amounts expected to be paid to the tax authorities in relation to the taxable profit or loss for the current period, calculated in accordance with the requirements of the Tax Code of Ukraine and applying the tax rate applicable on the reporting date. Taxable profit is based on the tax returns and is reported as a receivable / liability for current income tax on the balance sheet of the bank.</w:t>
      </w:r>
    </w:p>
    <w:p w:rsidR="0056316B" w:rsidRPr="00BA5143" w:rsidRDefault="0056316B" w:rsidP="005B68F9">
      <w:pPr>
        <w:ind w:firstLine="567"/>
        <w:jc w:val="both"/>
        <w:rPr>
          <w:bCs/>
          <w:iCs/>
          <w:lang w:val="en-US"/>
        </w:rPr>
      </w:pPr>
      <w:r w:rsidRPr="00BA5143">
        <w:rPr>
          <w:bCs/>
          <w:iCs/>
          <w:lang w:val="en-US"/>
        </w:rPr>
        <w:t>Income tax is recognized in the Profit and Loss Statement, except when it relates to items reflected directly in equity.</w:t>
      </w:r>
    </w:p>
    <w:p w:rsidR="0056316B" w:rsidRPr="00BA5143" w:rsidRDefault="0056316B" w:rsidP="005B68F9">
      <w:pPr>
        <w:ind w:firstLine="567"/>
        <w:jc w:val="both"/>
        <w:rPr>
          <w:bCs/>
          <w:iCs/>
          <w:lang w:val="en-US"/>
        </w:rPr>
      </w:pPr>
      <w:r w:rsidRPr="00BA5143">
        <w:rPr>
          <w:bCs/>
          <w:iCs/>
          <w:lang w:val="en-US"/>
        </w:rPr>
        <w:t>Deferred tax is calculated using the balance sheet liability method for all temporary differences between the carrying amounts of assets and liabilities used for financial reporting purposes and amounts used for tax purposes.</w:t>
      </w:r>
    </w:p>
    <w:p w:rsidR="00882102" w:rsidRPr="00BA5143" w:rsidRDefault="0056316B" w:rsidP="005B68F9">
      <w:pPr>
        <w:ind w:firstLine="567"/>
        <w:jc w:val="both"/>
        <w:rPr>
          <w:bCs/>
          <w:iCs/>
          <w:lang w:val="en-US"/>
        </w:rPr>
      </w:pPr>
      <w:r w:rsidRPr="00BA5143">
        <w:rPr>
          <w:bCs/>
          <w:iCs/>
          <w:lang w:val="en-US"/>
        </w:rPr>
        <w:t>To determine the deferred income tax, the tax rate will be used in the period when the deferred tax asset or liability is realized. Deferred tax assets / liabilities are recognized in the item deferred tax assets / liabilities of the statement of financial position of the Bank. Expenses from deferred tax assets or liabilities are recognized in the income statement in the income tax expense, except for deferred tax assets or liabilities arising from transactions that are recorded as changes in equity.</w:t>
      </w:r>
    </w:p>
    <w:p w:rsidR="0056316B" w:rsidRPr="00BA5143" w:rsidRDefault="0056316B" w:rsidP="0056316B">
      <w:pPr>
        <w:jc w:val="both"/>
        <w:rPr>
          <w:highlight w:val="yellow"/>
          <w:lang w:val="en-US"/>
        </w:rPr>
      </w:pPr>
    </w:p>
    <w:p w:rsidR="005B68F9" w:rsidRPr="00BA5143" w:rsidRDefault="005B68F9" w:rsidP="005B68F9">
      <w:pPr>
        <w:ind w:firstLine="709"/>
        <w:jc w:val="both"/>
        <w:rPr>
          <w:b/>
          <w:iCs/>
          <w:lang w:val="en-US"/>
        </w:rPr>
      </w:pPr>
      <w:r w:rsidRPr="00BA5143">
        <w:rPr>
          <w:b/>
          <w:iCs/>
          <w:lang w:val="en-US"/>
        </w:rPr>
        <w:t>4.30. Share capital and issue income</w:t>
      </w:r>
    </w:p>
    <w:p w:rsidR="005B68F9" w:rsidRPr="00BA5143" w:rsidRDefault="005B68F9" w:rsidP="005B68F9">
      <w:pPr>
        <w:jc w:val="both"/>
        <w:rPr>
          <w:b/>
          <w:i/>
          <w:lang w:val="en-US"/>
        </w:rPr>
      </w:pPr>
    </w:p>
    <w:p w:rsidR="005B68F9" w:rsidRPr="00BA5143" w:rsidRDefault="005B68F9" w:rsidP="005B68F9">
      <w:pPr>
        <w:ind w:firstLine="709"/>
        <w:jc w:val="both"/>
        <w:rPr>
          <w:bCs/>
          <w:iCs/>
          <w:lang w:val="en-US"/>
        </w:rPr>
      </w:pPr>
      <w:r w:rsidRPr="00BA5143">
        <w:rPr>
          <w:bCs/>
          <w:iCs/>
          <w:lang w:val="en-US"/>
        </w:rPr>
        <w:t>Share capital is paid by the participants' cash contributions to the value of the Bank's shares in the amount determined by the charter. Share capital is shown on the original (nominal) value. Costs directly related to the issue of new shares are accounted for in equity as a reduction in the amount of receipts and the financial statements are reflected in other additional capital.</w:t>
      </w:r>
    </w:p>
    <w:p w:rsidR="00122425" w:rsidRPr="00BA5143" w:rsidRDefault="005B68F9" w:rsidP="005B68F9">
      <w:pPr>
        <w:ind w:firstLine="709"/>
        <w:jc w:val="both"/>
        <w:rPr>
          <w:bCs/>
          <w:iCs/>
          <w:lang w:val="en-US"/>
        </w:rPr>
      </w:pPr>
      <w:r w:rsidRPr="00BA5143">
        <w:rPr>
          <w:bCs/>
          <w:iCs/>
          <w:lang w:val="en-US"/>
        </w:rPr>
        <w:t>Excess of fair value (placement prices) made for the payment of shares of cash, over nominal value is recorded in equity as a statement of income.</w:t>
      </w:r>
    </w:p>
    <w:p w:rsidR="005B68F9" w:rsidRPr="00BA5143" w:rsidRDefault="005B68F9" w:rsidP="005B68F9">
      <w:pPr>
        <w:ind w:firstLine="709"/>
        <w:jc w:val="both"/>
        <w:rPr>
          <w:b/>
          <w:bCs/>
          <w:iCs/>
          <w:lang w:val="en-US"/>
        </w:rPr>
      </w:pPr>
    </w:p>
    <w:p w:rsidR="005B68F9" w:rsidRPr="00BA5143" w:rsidRDefault="005B68F9" w:rsidP="005B68F9">
      <w:pPr>
        <w:ind w:firstLine="709"/>
        <w:jc w:val="both"/>
        <w:rPr>
          <w:b/>
          <w:bCs/>
          <w:lang w:val="en-US"/>
        </w:rPr>
      </w:pPr>
      <w:r w:rsidRPr="00BA5143">
        <w:rPr>
          <w:b/>
          <w:bCs/>
          <w:lang w:val="en-US"/>
        </w:rPr>
        <w:t>4.31. Own shares purchased from shareholders</w:t>
      </w:r>
    </w:p>
    <w:p w:rsidR="005B68F9" w:rsidRPr="00BA5143" w:rsidRDefault="005B68F9" w:rsidP="005B68F9">
      <w:pPr>
        <w:ind w:firstLine="709"/>
        <w:jc w:val="both"/>
        <w:rPr>
          <w:lang w:val="en-US"/>
        </w:rPr>
      </w:pPr>
    </w:p>
    <w:p w:rsidR="00882102" w:rsidRPr="00BA5143" w:rsidRDefault="005B68F9" w:rsidP="005B68F9">
      <w:pPr>
        <w:ind w:firstLine="709"/>
        <w:jc w:val="both"/>
        <w:rPr>
          <w:lang w:val="en-US"/>
        </w:rPr>
      </w:pPr>
      <w:r w:rsidRPr="00BA5143">
        <w:rPr>
          <w:lang w:val="en-US"/>
        </w:rPr>
        <w:t>During the reporting period 2018, the Bank did not carry out redemption of its own shares in the shareholders.</w:t>
      </w:r>
    </w:p>
    <w:p w:rsidR="005B68F9" w:rsidRPr="00BA5143" w:rsidRDefault="005B68F9" w:rsidP="005B68F9">
      <w:pPr>
        <w:ind w:firstLine="709"/>
        <w:jc w:val="both"/>
        <w:rPr>
          <w:highlight w:val="yellow"/>
          <w:lang w:val="en-US"/>
        </w:rPr>
      </w:pPr>
    </w:p>
    <w:p w:rsidR="005B68F9" w:rsidRPr="00BA5143" w:rsidRDefault="005B68F9" w:rsidP="005B68F9">
      <w:pPr>
        <w:ind w:firstLine="709"/>
        <w:jc w:val="both"/>
        <w:rPr>
          <w:b/>
          <w:iCs/>
          <w:lang w:val="en-US"/>
        </w:rPr>
      </w:pPr>
      <w:r w:rsidRPr="00BA5143">
        <w:rPr>
          <w:b/>
          <w:iCs/>
          <w:lang w:val="en-US"/>
        </w:rPr>
        <w:t>4.32. Income and expenses</w:t>
      </w:r>
    </w:p>
    <w:p w:rsidR="005B68F9" w:rsidRPr="00BA5143" w:rsidRDefault="005B68F9" w:rsidP="005B68F9">
      <w:pPr>
        <w:ind w:firstLine="540"/>
        <w:jc w:val="both"/>
        <w:rPr>
          <w:bCs/>
          <w:iCs/>
          <w:lang w:val="en-US"/>
        </w:rPr>
      </w:pPr>
    </w:p>
    <w:p w:rsidR="005B68F9" w:rsidRPr="00BA5143" w:rsidRDefault="005B68F9" w:rsidP="005B68F9">
      <w:pPr>
        <w:ind w:firstLine="540"/>
        <w:jc w:val="both"/>
        <w:rPr>
          <w:bCs/>
          <w:iCs/>
          <w:lang w:val="en-US"/>
        </w:rPr>
      </w:pPr>
      <w:r w:rsidRPr="00BA5143">
        <w:rPr>
          <w:bCs/>
          <w:iCs/>
          <w:lang w:val="en-US"/>
        </w:rPr>
        <w:t>Income / expenses are subject to accrual and disclosure in the Bank's financial statements if the following conditions are met:</w:t>
      </w:r>
    </w:p>
    <w:p w:rsidR="005B68F9" w:rsidRPr="00BA5143" w:rsidRDefault="005B68F9" w:rsidP="005B68F9">
      <w:pPr>
        <w:ind w:firstLine="540"/>
        <w:jc w:val="both"/>
        <w:rPr>
          <w:bCs/>
          <w:iCs/>
          <w:lang w:val="en-US"/>
        </w:rPr>
      </w:pPr>
      <w:r w:rsidRPr="00BA5143">
        <w:rPr>
          <w:bCs/>
          <w:iCs/>
          <w:lang w:val="en-US"/>
        </w:rPr>
        <w:t>- on assets and liabilities - there is a real debt (interest income / expenses);</w:t>
      </w:r>
    </w:p>
    <w:p w:rsidR="005B68F9" w:rsidRPr="00BA5143" w:rsidRDefault="005B68F9" w:rsidP="005B68F9">
      <w:pPr>
        <w:ind w:firstLine="540"/>
        <w:jc w:val="both"/>
        <w:rPr>
          <w:bCs/>
          <w:iCs/>
          <w:lang w:val="en-US"/>
        </w:rPr>
      </w:pPr>
      <w:r w:rsidRPr="00BA5143">
        <w:rPr>
          <w:bCs/>
          <w:iCs/>
          <w:lang w:val="en-US"/>
        </w:rPr>
        <w:t>- For services rendered (received) - the financial result can be accurately assessed and there is a contract for the provision (receipt) of services or documents confirming the full (partial) provision of them (commission income / expense, the result of trading operations, administrative expenses).</w:t>
      </w:r>
    </w:p>
    <w:p w:rsidR="005B68F9" w:rsidRPr="00BA5143" w:rsidRDefault="005B68F9" w:rsidP="005B68F9">
      <w:pPr>
        <w:ind w:firstLine="540"/>
        <w:jc w:val="both"/>
        <w:rPr>
          <w:bCs/>
          <w:iCs/>
          <w:lang w:val="en-US"/>
        </w:rPr>
      </w:pPr>
      <w:r w:rsidRPr="00BA5143">
        <w:rPr>
          <w:bCs/>
          <w:iCs/>
          <w:lang w:val="en-US"/>
        </w:rPr>
        <w:lastRenderedPageBreak/>
        <w:t>The accrual of such income and expenses is carried out on a monthly basis regardless of the term of the payments specified in the agreement.</w:t>
      </w:r>
    </w:p>
    <w:p w:rsidR="005B68F9" w:rsidRPr="00BA5143" w:rsidRDefault="005B68F9" w:rsidP="005B68F9">
      <w:pPr>
        <w:ind w:firstLine="540"/>
        <w:jc w:val="both"/>
        <w:rPr>
          <w:bCs/>
          <w:iCs/>
          <w:lang w:val="en-US"/>
        </w:rPr>
      </w:pPr>
      <w:r w:rsidRPr="00BA5143">
        <w:rPr>
          <w:bCs/>
          <w:iCs/>
          <w:lang w:val="en-US"/>
        </w:rPr>
        <w:t>Income and expenses arising from the transaction are determined by an agreement between its participants or other documents drawn up in accordance with the requirements of the current legislation of Ukraine.</w:t>
      </w:r>
    </w:p>
    <w:p w:rsidR="005B68F9" w:rsidRPr="00BA5143" w:rsidRDefault="005B68F9" w:rsidP="005B68F9">
      <w:pPr>
        <w:ind w:firstLine="540"/>
        <w:jc w:val="both"/>
        <w:rPr>
          <w:bCs/>
          <w:iCs/>
          <w:lang w:val="en-US"/>
        </w:rPr>
      </w:pPr>
      <w:r w:rsidRPr="00BA5143">
        <w:rPr>
          <w:bCs/>
          <w:iCs/>
          <w:lang w:val="en-US"/>
        </w:rPr>
        <w:t>Income and expenses are recognized for each type of business (operational, investment, financial) of the Bank. The criteria for recognizing income and expenses are applied separately to each operation of the Bank. Each type of income and expense is reflected in the accounting separately.</w:t>
      </w:r>
    </w:p>
    <w:p w:rsidR="00207F38" w:rsidRPr="00BA5143" w:rsidRDefault="00207F38" w:rsidP="00207F38">
      <w:pPr>
        <w:ind w:firstLine="540"/>
        <w:jc w:val="both"/>
        <w:rPr>
          <w:lang w:val="en-US"/>
        </w:rPr>
      </w:pPr>
      <w:r w:rsidRPr="00BA5143">
        <w:rPr>
          <w:lang w:val="en-US"/>
        </w:rPr>
        <w:t>As a result of using the assets of the Bank by other parties, income is recognized in the form of interest, royalties, dividends:</w:t>
      </w:r>
    </w:p>
    <w:p w:rsidR="00207F38" w:rsidRPr="00BA5143" w:rsidRDefault="00207F38" w:rsidP="00207F38">
      <w:pPr>
        <w:ind w:firstLine="540"/>
        <w:jc w:val="both"/>
        <w:rPr>
          <w:lang w:val="en-US"/>
        </w:rPr>
      </w:pPr>
      <w:r w:rsidRPr="00BA5143">
        <w:rPr>
          <w:lang w:val="en-US"/>
        </w:rPr>
        <w:t>- interest is recognized in the reporting period to which they belong, and they are calculated based on their base of calculation and term of use of the relevant assets or amounts of the Bank's debts;</w:t>
      </w:r>
    </w:p>
    <w:p w:rsidR="00207F38" w:rsidRPr="00BA5143" w:rsidRDefault="00207F38" w:rsidP="00207F38">
      <w:pPr>
        <w:ind w:firstLine="540"/>
        <w:jc w:val="both"/>
        <w:rPr>
          <w:lang w:val="en-US"/>
        </w:rPr>
      </w:pPr>
      <w:r w:rsidRPr="00BA5143">
        <w:rPr>
          <w:lang w:val="en-US"/>
        </w:rPr>
        <w:t>- royalties are recognized on the principle of accrual in accordance with the economic content of the relevant agreement;</w:t>
      </w:r>
    </w:p>
    <w:p w:rsidR="00207F38" w:rsidRPr="00BA5143" w:rsidRDefault="00207F38" w:rsidP="00207F38">
      <w:pPr>
        <w:ind w:firstLine="540"/>
        <w:jc w:val="both"/>
        <w:rPr>
          <w:lang w:val="en-US"/>
        </w:rPr>
      </w:pPr>
      <w:r w:rsidRPr="00BA5143">
        <w:rPr>
          <w:lang w:val="en-US"/>
        </w:rPr>
        <w:t>- dividends are recognized in the event of the establishment of rights to receive payment.</w:t>
      </w:r>
    </w:p>
    <w:p w:rsidR="00207F38" w:rsidRPr="00BA5143" w:rsidRDefault="00207F38" w:rsidP="00207F38">
      <w:pPr>
        <w:ind w:firstLine="540"/>
        <w:jc w:val="both"/>
        <w:rPr>
          <w:lang w:val="en-US"/>
        </w:rPr>
      </w:pPr>
      <w:r w:rsidRPr="00BA5143">
        <w:rPr>
          <w:lang w:val="en-US"/>
        </w:rPr>
        <w:t>The condition of recognition of interest and royalties is the probability of obtaining an economic benefit by the Bank, and dividends are a reliable estimate of income.</w:t>
      </w:r>
    </w:p>
    <w:p w:rsidR="00207F38" w:rsidRPr="00BA5143" w:rsidRDefault="00207F38" w:rsidP="00207F38">
      <w:pPr>
        <w:ind w:firstLine="540"/>
        <w:jc w:val="both"/>
        <w:rPr>
          <w:lang w:val="en-US"/>
        </w:rPr>
      </w:pPr>
      <w:r w:rsidRPr="00BA5143">
        <w:rPr>
          <w:lang w:val="en-US"/>
        </w:rPr>
        <w:t>For trading in financial instruments, profits and losses are recognized when the following conditions exist:</w:t>
      </w:r>
    </w:p>
    <w:p w:rsidR="00207F38" w:rsidRPr="00BA5143" w:rsidRDefault="00207F38" w:rsidP="00207F38">
      <w:pPr>
        <w:ind w:firstLine="540"/>
        <w:jc w:val="both"/>
        <w:rPr>
          <w:lang w:val="en-US"/>
        </w:rPr>
      </w:pPr>
      <w:r w:rsidRPr="00BA5143">
        <w:rPr>
          <w:lang w:val="en-US"/>
        </w:rPr>
        <w:t>- the risks and benefits associated with the ownership of the assets transferred to the buyer;</w:t>
      </w:r>
    </w:p>
    <w:p w:rsidR="00207F38" w:rsidRPr="00BA5143" w:rsidRDefault="00207F38" w:rsidP="00207F38">
      <w:pPr>
        <w:ind w:firstLine="540"/>
        <w:jc w:val="both"/>
        <w:rPr>
          <w:lang w:val="en-US"/>
        </w:rPr>
      </w:pPr>
      <w:r w:rsidRPr="00BA5143">
        <w:rPr>
          <w:lang w:val="en-US"/>
        </w:rPr>
        <w:t>- The Bank does not carry out further management and control over the realized assets;</w:t>
      </w:r>
    </w:p>
    <w:p w:rsidR="00207F38" w:rsidRPr="00BA5143" w:rsidRDefault="00207F38" w:rsidP="00207F38">
      <w:pPr>
        <w:ind w:firstLine="540"/>
        <w:jc w:val="both"/>
        <w:rPr>
          <w:lang w:val="en-US"/>
        </w:rPr>
      </w:pPr>
      <w:r w:rsidRPr="00BA5143">
        <w:rPr>
          <w:lang w:val="en-US"/>
        </w:rPr>
        <w:t>- the amount of income can be reliably determined;</w:t>
      </w:r>
    </w:p>
    <w:p w:rsidR="00207F38" w:rsidRPr="00BA5143" w:rsidRDefault="00207F38" w:rsidP="00207F38">
      <w:pPr>
        <w:ind w:firstLine="540"/>
        <w:jc w:val="both"/>
        <w:rPr>
          <w:lang w:val="en-US"/>
        </w:rPr>
      </w:pPr>
      <w:r w:rsidRPr="00BA5143">
        <w:rPr>
          <w:lang w:val="en-US"/>
        </w:rPr>
        <w:t>- there is confidence that as a result of the operation there will be an increase in the bank's economic benefits;</w:t>
      </w:r>
    </w:p>
    <w:p w:rsidR="00207F38" w:rsidRPr="00BA5143" w:rsidRDefault="00207F38" w:rsidP="00207F38">
      <w:pPr>
        <w:ind w:firstLine="540"/>
        <w:jc w:val="both"/>
        <w:rPr>
          <w:lang w:val="en-US"/>
        </w:rPr>
      </w:pPr>
      <w:r w:rsidRPr="00BA5143">
        <w:rPr>
          <w:lang w:val="en-US"/>
        </w:rPr>
        <w:t>- Costs associated with this transaction can be reliably determined.</w:t>
      </w:r>
    </w:p>
    <w:p w:rsidR="00207F38" w:rsidRPr="00BA5143" w:rsidRDefault="00207F38" w:rsidP="00207F38">
      <w:pPr>
        <w:ind w:firstLine="540"/>
        <w:jc w:val="both"/>
        <w:rPr>
          <w:lang w:val="en-US"/>
        </w:rPr>
      </w:pPr>
      <w:r w:rsidRPr="00BA5143">
        <w:rPr>
          <w:lang w:val="en-US"/>
        </w:rPr>
        <w:t>If an asset provides for economic benefits for several accounting periods, the cost is recognized by systematically allocating its value (for example, depreciation) between the relevant reporting periods.</w:t>
      </w:r>
    </w:p>
    <w:p w:rsidR="00207F38" w:rsidRPr="00BA5143" w:rsidRDefault="00207F38" w:rsidP="00207F38">
      <w:pPr>
        <w:ind w:firstLine="540"/>
        <w:jc w:val="both"/>
        <w:rPr>
          <w:lang w:val="en-US"/>
        </w:rPr>
      </w:pPr>
      <w:r w:rsidRPr="00BA5143">
        <w:rPr>
          <w:lang w:val="en-US"/>
        </w:rPr>
        <w:t xml:space="preserve">Costs that </w:t>
      </w:r>
      <w:r w:rsidR="00201937" w:rsidRPr="00BA5143">
        <w:rPr>
          <w:lang w:val="en-US"/>
        </w:rPr>
        <w:t>cannot</w:t>
      </w:r>
      <w:r w:rsidRPr="00BA5143">
        <w:rPr>
          <w:lang w:val="en-US"/>
        </w:rPr>
        <w:t xml:space="preserve"> be directly linked to the income of a particular period are shown in the expense of the reporting period in which they were incurred.</w:t>
      </w:r>
    </w:p>
    <w:p w:rsidR="00207F38" w:rsidRPr="00BA5143" w:rsidRDefault="00207F38" w:rsidP="00207F38">
      <w:pPr>
        <w:ind w:firstLine="540"/>
        <w:jc w:val="both"/>
        <w:rPr>
          <w:lang w:val="en-US"/>
        </w:rPr>
      </w:pPr>
      <w:r w:rsidRPr="00BA5143">
        <w:rPr>
          <w:lang w:val="en-US"/>
        </w:rPr>
        <w:t>Income (expenses) for one-time services (for example, fees for exchanged currencies, provision of (obtaining) consultations, etc.) can be recognized without displaying accrued income (expense) accounts if the funds were received (paid) during or after the actual provision (receipt) services during the reporting month.</w:t>
      </w:r>
    </w:p>
    <w:p w:rsidR="00207F38" w:rsidRPr="00BA5143" w:rsidRDefault="00207F38" w:rsidP="00207F38">
      <w:pPr>
        <w:ind w:firstLine="540"/>
        <w:jc w:val="both"/>
        <w:rPr>
          <w:lang w:val="en-US"/>
        </w:rPr>
      </w:pPr>
      <w:r w:rsidRPr="00BA5143">
        <w:rPr>
          <w:lang w:val="en-US"/>
        </w:rPr>
        <w:t>Income (expenses) for services provided in stages are recognized after the completion of each stage of the transaction during the duration of the service provision agreement and are recorded on an accrual basis. Income (expense) is charged from the date of registration of a document confirming the provision (receipt) of the service.</w:t>
      </w:r>
    </w:p>
    <w:p w:rsidR="00207F38" w:rsidRPr="00BA5143" w:rsidRDefault="00207F38" w:rsidP="00207F38">
      <w:pPr>
        <w:ind w:firstLine="540"/>
        <w:jc w:val="both"/>
        <w:rPr>
          <w:lang w:val="en-US"/>
        </w:rPr>
      </w:pPr>
      <w:r w:rsidRPr="00BA5143">
        <w:rPr>
          <w:lang w:val="en-US"/>
        </w:rPr>
        <w:t>Income (expenses) for services with compulsory result are recognized on the fact of providing (receiving) services or on the fact of achieving the result provided by the contract.</w:t>
      </w:r>
    </w:p>
    <w:p w:rsidR="00207F38" w:rsidRPr="00BA5143" w:rsidRDefault="00207F38" w:rsidP="00207F38">
      <w:pPr>
        <w:ind w:firstLine="540"/>
        <w:jc w:val="both"/>
        <w:rPr>
          <w:lang w:val="en-US"/>
        </w:rPr>
      </w:pPr>
      <w:r w:rsidRPr="00BA5143">
        <w:rPr>
          <w:lang w:val="en-US"/>
        </w:rPr>
        <w:t xml:space="preserve">The cost of acquiring and creating an asset that </w:t>
      </w:r>
      <w:r w:rsidR="00201937" w:rsidRPr="00BA5143">
        <w:rPr>
          <w:lang w:val="en-US"/>
        </w:rPr>
        <w:t>cannot</w:t>
      </w:r>
      <w:r w:rsidRPr="00BA5143">
        <w:rPr>
          <w:lang w:val="en-US"/>
        </w:rPr>
        <w:t xml:space="preserve"> be recognized as an asset is recognized as an expense.</w:t>
      </w:r>
    </w:p>
    <w:p w:rsidR="00207F38" w:rsidRPr="00BA5143" w:rsidRDefault="00207F38" w:rsidP="00207F38">
      <w:pPr>
        <w:ind w:firstLine="540"/>
        <w:jc w:val="both"/>
        <w:rPr>
          <w:lang w:val="en-US"/>
        </w:rPr>
      </w:pPr>
      <w:r w:rsidRPr="00BA5143">
        <w:rPr>
          <w:lang w:val="en-US"/>
        </w:rPr>
        <w:t xml:space="preserve">- the amount of proceeds from a commission agreement, agency agreements and a similar agreement in favor of the </w:t>
      </w:r>
      <w:r w:rsidR="00201937" w:rsidRPr="00BA5143">
        <w:rPr>
          <w:lang w:val="en-US"/>
        </w:rPr>
        <w:t>commissioner</w:t>
      </w:r>
      <w:r w:rsidRPr="00BA5143">
        <w:rPr>
          <w:lang w:val="en-US"/>
        </w:rPr>
        <w:t>, principal, etc.;</w:t>
      </w:r>
    </w:p>
    <w:p w:rsidR="00207F38" w:rsidRPr="00BA5143" w:rsidRDefault="00207F38" w:rsidP="00207F38">
      <w:pPr>
        <w:ind w:firstLine="540"/>
        <w:jc w:val="both"/>
        <w:rPr>
          <w:lang w:val="en-US"/>
        </w:rPr>
      </w:pPr>
      <w:r w:rsidRPr="00BA5143">
        <w:rPr>
          <w:lang w:val="en-US"/>
        </w:rPr>
        <w:t>- the amount of the advance payment for the advance payment of services, goods, etc.;</w:t>
      </w:r>
    </w:p>
    <w:p w:rsidR="00207F38" w:rsidRPr="00BA5143" w:rsidRDefault="00207F38" w:rsidP="00207F38">
      <w:pPr>
        <w:ind w:firstLine="540"/>
        <w:jc w:val="both"/>
        <w:rPr>
          <w:lang w:val="en-US"/>
        </w:rPr>
      </w:pPr>
      <w:r w:rsidRPr="00BA5143">
        <w:rPr>
          <w:lang w:val="en-US"/>
        </w:rPr>
        <w:t>- proceeds belonging to other persons;</w:t>
      </w:r>
    </w:p>
    <w:p w:rsidR="00207F38" w:rsidRPr="00BA5143" w:rsidRDefault="00207F38" w:rsidP="00207F38">
      <w:pPr>
        <w:ind w:firstLine="540"/>
        <w:jc w:val="both"/>
        <w:rPr>
          <w:lang w:val="en-US"/>
        </w:rPr>
      </w:pPr>
      <w:r w:rsidRPr="00BA5143">
        <w:rPr>
          <w:lang w:val="en-US"/>
        </w:rPr>
        <w:t>- proceeds from the initial placement of securities;</w:t>
      </w:r>
    </w:p>
    <w:p w:rsidR="00207F38" w:rsidRPr="00BA5143" w:rsidRDefault="00207F38" w:rsidP="00207F38">
      <w:pPr>
        <w:ind w:firstLine="540"/>
        <w:jc w:val="both"/>
        <w:rPr>
          <w:lang w:val="en-US"/>
        </w:rPr>
      </w:pPr>
      <w:r w:rsidRPr="00BA5143">
        <w:rPr>
          <w:lang w:val="en-US"/>
        </w:rPr>
        <w:t>- the amount of value added tax, other taxes and mandatory payments, which are subject to transfer to the budget and extrabudgetary funds.</w:t>
      </w:r>
    </w:p>
    <w:p w:rsidR="00207F38" w:rsidRPr="00BA5143" w:rsidRDefault="00207F38" w:rsidP="00207F38">
      <w:pPr>
        <w:ind w:firstLine="540"/>
        <w:jc w:val="both"/>
        <w:rPr>
          <w:lang w:val="en-US"/>
        </w:rPr>
      </w:pPr>
      <w:r w:rsidRPr="00BA5143">
        <w:rPr>
          <w:lang w:val="en-US"/>
        </w:rPr>
        <w:t>Not recognized as expenses and are not included in the statement of financial results:</w:t>
      </w:r>
    </w:p>
    <w:p w:rsidR="00207F38" w:rsidRPr="00BA5143" w:rsidRDefault="00207F38" w:rsidP="00207F38">
      <w:pPr>
        <w:ind w:firstLine="540"/>
        <w:jc w:val="both"/>
        <w:rPr>
          <w:lang w:val="en-US"/>
        </w:rPr>
      </w:pPr>
      <w:r w:rsidRPr="00BA5143">
        <w:rPr>
          <w:lang w:val="en-US"/>
        </w:rPr>
        <w:lastRenderedPageBreak/>
        <w:t xml:space="preserve">- payments under contracts of commissions, agency agreements and other similar agreements in favor of the </w:t>
      </w:r>
      <w:r w:rsidR="00201937" w:rsidRPr="00BA5143">
        <w:rPr>
          <w:lang w:val="en-US"/>
        </w:rPr>
        <w:t>commissioner</w:t>
      </w:r>
      <w:r w:rsidRPr="00BA5143">
        <w:rPr>
          <w:lang w:val="en-US"/>
        </w:rPr>
        <w:t>, principal, etc.;</w:t>
      </w:r>
    </w:p>
    <w:p w:rsidR="00207F38" w:rsidRPr="00BA5143" w:rsidRDefault="00207F38" w:rsidP="00207F38">
      <w:pPr>
        <w:ind w:firstLine="540"/>
        <w:jc w:val="both"/>
        <w:rPr>
          <w:lang w:val="en-US"/>
        </w:rPr>
      </w:pPr>
      <w:r w:rsidRPr="00BA5143">
        <w:rPr>
          <w:lang w:val="en-US"/>
        </w:rPr>
        <w:t>- preliminary (advance) payment of goods, works, services;</w:t>
      </w:r>
    </w:p>
    <w:p w:rsidR="00207F38" w:rsidRPr="00BA5143" w:rsidRDefault="00207F38" w:rsidP="00207F38">
      <w:pPr>
        <w:ind w:firstLine="540"/>
        <w:jc w:val="both"/>
        <w:rPr>
          <w:lang w:val="en-US"/>
        </w:rPr>
      </w:pPr>
      <w:r w:rsidRPr="00BA5143">
        <w:rPr>
          <w:lang w:val="en-US"/>
        </w:rPr>
        <w:t>- repayment of received loans, return of deposits, etc.;</w:t>
      </w:r>
    </w:p>
    <w:p w:rsidR="00103363" w:rsidRPr="00BA5143" w:rsidRDefault="00207F38" w:rsidP="00207F38">
      <w:pPr>
        <w:ind w:firstLine="540"/>
        <w:jc w:val="both"/>
        <w:rPr>
          <w:lang w:val="en-US"/>
        </w:rPr>
      </w:pPr>
      <w:r w:rsidRPr="00BA5143">
        <w:rPr>
          <w:lang w:val="en-US"/>
        </w:rPr>
        <w:t>- expenses that are reflected in the reduction of equity in accordance with the current legislation of Ukraine.</w:t>
      </w:r>
    </w:p>
    <w:p w:rsidR="00103363" w:rsidRPr="00BA5143" w:rsidRDefault="00103363" w:rsidP="00103363">
      <w:pPr>
        <w:ind w:firstLine="540"/>
        <w:jc w:val="both"/>
        <w:rPr>
          <w:lang w:val="en-US"/>
        </w:rPr>
      </w:pPr>
      <w:r w:rsidRPr="00BA5143">
        <w:rPr>
          <w:lang w:val="en-US"/>
        </w:rPr>
        <w:t>Income, expenses and depreciation of the discount (premium) are carried out at least once a month, with the reflection of the corresponding accounts of interest income (expenses).</w:t>
      </w:r>
    </w:p>
    <w:p w:rsidR="00103363" w:rsidRPr="00BA5143" w:rsidRDefault="00103363" w:rsidP="00103363">
      <w:pPr>
        <w:ind w:firstLine="540"/>
        <w:jc w:val="both"/>
        <w:rPr>
          <w:lang w:val="en-US"/>
        </w:rPr>
      </w:pPr>
      <w:r w:rsidRPr="00BA5143">
        <w:rPr>
          <w:lang w:val="en-US"/>
        </w:rPr>
        <w:t>If income (expenses) are received (paid) at the balance sheet date, then the Bank may not reflect them on accrued income and expenses accounts.</w:t>
      </w:r>
    </w:p>
    <w:p w:rsidR="00103363" w:rsidRPr="00BA5143" w:rsidRDefault="00103363" w:rsidP="00103363">
      <w:pPr>
        <w:ind w:firstLine="540"/>
        <w:jc w:val="both"/>
        <w:rPr>
          <w:lang w:val="en-US"/>
        </w:rPr>
      </w:pPr>
      <w:r w:rsidRPr="00BA5143">
        <w:rPr>
          <w:lang w:val="en-US"/>
        </w:rPr>
        <w:t>If the income and expenses are recognized within the reporting period without displaying them on the accrued income (expense) accounts, the bank shall apply appropriate internal control over the accrued and received income.</w:t>
      </w:r>
    </w:p>
    <w:p w:rsidR="00103363" w:rsidRPr="00BA5143" w:rsidRDefault="00103363" w:rsidP="00103363">
      <w:pPr>
        <w:ind w:firstLine="540"/>
        <w:jc w:val="both"/>
        <w:rPr>
          <w:lang w:val="en-US"/>
        </w:rPr>
      </w:pPr>
      <w:r w:rsidRPr="00BA5143">
        <w:rPr>
          <w:lang w:val="en-US"/>
        </w:rPr>
        <w:t>Income and expense items are not discounted but are recorded separately, with the exception of articles related to hedging, or assets and liabilities, if there is a legal right to such a rollback and if this is provided by the relevant accounting regulations (standards).</w:t>
      </w:r>
    </w:p>
    <w:p w:rsidR="000536CF" w:rsidRPr="00BA5143" w:rsidRDefault="000536CF" w:rsidP="000536CF">
      <w:pPr>
        <w:ind w:firstLine="540"/>
        <w:jc w:val="both"/>
        <w:rPr>
          <w:lang w:val="en-US"/>
        </w:rPr>
      </w:pPr>
      <w:r w:rsidRPr="00BA5143">
        <w:rPr>
          <w:lang w:val="en-US"/>
        </w:rPr>
        <w:t>On a net basis, the income and expense arising as a result are reflected:</w:t>
      </w:r>
    </w:p>
    <w:p w:rsidR="000536CF" w:rsidRPr="00BA5143" w:rsidRDefault="000536CF" w:rsidP="000536CF">
      <w:pPr>
        <w:ind w:firstLine="540"/>
        <w:jc w:val="both"/>
        <w:rPr>
          <w:lang w:val="en-US"/>
        </w:rPr>
      </w:pPr>
      <w:r w:rsidRPr="00BA5143">
        <w:rPr>
          <w:lang w:val="en-US"/>
        </w:rPr>
        <w:t>- Realization and revaluation of the book value of securities purchased for trading transactions;</w:t>
      </w:r>
    </w:p>
    <w:p w:rsidR="000536CF" w:rsidRPr="00BA5143" w:rsidRDefault="000536CF" w:rsidP="000536CF">
      <w:pPr>
        <w:ind w:firstLine="540"/>
        <w:jc w:val="both"/>
        <w:rPr>
          <w:lang w:val="en-US"/>
        </w:rPr>
      </w:pPr>
      <w:r w:rsidRPr="00BA5143">
        <w:rPr>
          <w:lang w:val="en-US"/>
        </w:rPr>
        <w:t>- sale of securities in the Bank's portfolio for sale;</w:t>
      </w:r>
    </w:p>
    <w:p w:rsidR="000536CF" w:rsidRPr="00BA5143" w:rsidRDefault="000536CF" w:rsidP="000536CF">
      <w:pPr>
        <w:ind w:firstLine="540"/>
        <w:jc w:val="both"/>
        <w:rPr>
          <w:lang w:val="en-US"/>
        </w:rPr>
      </w:pPr>
      <w:r w:rsidRPr="00BA5143">
        <w:rPr>
          <w:lang w:val="en-US"/>
        </w:rPr>
        <w:t>- operations in foreign currency.</w:t>
      </w:r>
    </w:p>
    <w:p w:rsidR="000536CF" w:rsidRPr="00BA5143" w:rsidRDefault="000536CF" w:rsidP="000536CF">
      <w:pPr>
        <w:ind w:firstLine="540"/>
        <w:jc w:val="both"/>
        <w:rPr>
          <w:lang w:val="en-US"/>
        </w:rPr>
      </w:pPr>
      <w:r w:rsidRPr="00BA5143">
        <w:rPr>
          <w:lang w:val="en-US"/>
        </w:rPr>
        <w:t>Revenues and expenses incurred in future periods are accounted for as future income / expense items. The Bank recognizes the amount of incomes and expenses belonging to the reporting period on a monthly basis.</w:t>
      </w:r>
    </w:p>
    <w:p w:rsidR="000536CF" w:rsidRPr="00BA5143" w:rsidRDefault="000536CF" w:rsidP="000536CF">
      <w:pPr>
        <w:ind w:firstLine="540"/>
        <w:jc w:val="both"/>
        <w:rPr>
          <w:lang w:val="en-US"/>
        </w:rPr>
      </w:pPr>
      <w:r w:rsidRPr="00BA5143">
        <w:rPr>
          <w:lang w:val="en-US"/>
        </w:rPr>
        <w:t>Interest income and expense are recognized on the income and expense accounts using the effective interest method. Interest on financial instruments is charged at the nominal interest rate stipulated by the terms of the contract (issue) and is reflected in the accrued income and expense accounts.</w:t>
      </w:r>
    </w:p>
    <w:p w:rsidR="000536CF" w:rsidRPr="00BA5143" w:rsidRDefault="000536CF" w:rsidP="000536CF">
      <w:pPr>
        <w:ind w:firstLine="540"/>
        <w:jc w:val="both"/>
        <w:rPr>
          <w:lang w:val="en-US"/>
        </w:rPr>
      </w:pPr>
      <w:r w:rsidRPr="00BA5143">
        <w:rPr>
          <w:lang w:val="en-US"/>
        </w:rPr>
        <w:t>Interest income on assets at the first and second stage of depreciation is calculated by multiplying the gross carrying amount by the effective interest rate. Interest income on assets in the third stage of depreciation is calculated by multiplying the amortized cost to the effective interest rate.</w:t>
      </w:r>
    </w:p>
    <w:p w:rsidR="000536CF" w:rsidRPr="00BA5143" w:rsidRDefault="000536CF" w:rsidP="000536CF">
      <w:pPr>
        <w:ind w:firstLine="567"/>
        <w:jc w:val="both"/>
        <w:rPr>
          <w:lang w:val="en-US"/>
        </w:rPr>
      </w:pPr>
      <w:r w:rsidRPr="00BA5143">
        <w:rPr>
          <w:lang w:val="en-US"/>
        </w:rPr>
        <w:t>Amortization of a discount (premium) for financial instruments is carried out simultaneously with the accrual of interest.</w:t>
      </w:r>
    </w:p>
    <w:p w:rsidR="000536CF" w:rsidRPr="00BA5143" w:rsidRDefault="000536CF" w:rsidP="000536CF">
      <w:pPr>
        <w:ind w:firstLine="567"/>
        <w:jc w:val="both"/>
        <w:rPr>
          <w:lang w:val="en-US"/>
        </w:rPr>
      </w:pPr>
      <w:r w:rsidRPr="00BA5143">
        <w:rPr>
          <w:lang w:val="en-US"/>
        </w:rPr>
        <w:t>Any differences that arise between the amount of interest income (expense) recognized at the effective interest rate and accrued at the nominal interest rate of income (expense) for financial instruments acquired (received) at par value (net of discount or premium) are shown for Accounts for non-amortized discount (premium) in correspondence with accounts on account of interest income (expenses).</w:t>
      </w:r>
    </w:p>
    <w:p w:rsidR="000536CF" w:rsidRPr="00BA5143" w:rsidRDefault="000536CF" w:rsidP="000536CF">
      <w:pPr>
        <w:ind w:firstLine="567"/>
        <w:jc w:val="both"/>
        <w:rPr>
          <w:lang w:val="en-US"/>
        </w:rPr>
      </w:pPr>
      <w:r w:rsidRPr="00BA5143">
        <w:rPr>
          <w:lang w:val="en-US"/>
        </w:rPr>
        <w:t>To calculate the effective interest rate, cash flows are determined taking into account all terms of the agreement on the financial instrument, including all commissions and other amounts paid or received by the parties that are an integral part of the income (expenses) of the financial instrument. If it is impossible to reliably estimate the cash flows or the expected life of the financial instrument, the cash flows provided for by the relevant agreement are used during the term of the agreement.</w:t>
      </w:r>
    </w:p>
    <w:p w:rsidR="00196E2C" w:rsidRPr="00BA5143" w:rsidRDefault="000536CF" w:rsidP="000536CF">
      <w:pPr>
        <w:ind w:firstLine="567"/>
        <w:jc w:val="both"/>
        <w:rPr>
          <w:lang w:val="en-US"/>
        </w:rPr>
      </w:pPr>
      <w:r w:rsidRPr="00BA5143">
        <w:rPr>
          <w:lang w:val="en-US"/>
        </w:rPr>
        <w:t xml:space="preserve">If, in the future, the real values ​​and timing of cash flows will differ from those planned and such deviation is not associated with a decrease or reversal of usefulness, then the carrying amount of the financial instrument should be adjusted at the balance sheet date. In this case, the difference between the carrying amount of the financial instrument and the value of the estimated future cash flows discounted at the original effective interest rate (that is, the effective interest rate calculated at initial recognition) is determined. This difference is reflected in the </w:t>
      </w:r>
      <w:r w:rsidRPr="00BA5143">
        <w:rPr>
          <w:lang w:val="en-US"/>
        </w:rPr>
        <w:lastRenderedPageBreak/>
        <w:t xml:space="preserve">accounts of the </w:t>
      </w:r>
      <w:r w:rsidR="00201937" w:rsidRPr="00BA5143">
        <w:rPr>
          <w:lang w:val="en-US"/>
        </w:rPr>
        <w:t>unamortized</w:t>
      </w:r>
      <w:r w:rsidRPr="00BA5143">
        <w:rPr>
          <w:lang w:val="en-US"/>
        </w:rPr>
        <w:t xml:space="preserve"> discount (premium) in correspondence with the accounts for the accounting of interest income (expenses).</w:t>
      </w:r>
    </w:p>
    <w:p w:rsidR="000536CF" w:rsidRPr="00BA5143" w:rsidRDefault="000536CF" w:rsidP="000536CF">
      <w:pPr>
        <w:ind w:firstLine="567"/>
        <w:jc w:val="both"/>
        <w:rPr>
          <w:lang w:val="en-US"/>
        </w:rPr>
      </w:pPr>
    </w:p>
    <w:p w:rsidR="008F51A4" w:rsidRPr="00BA5143" w:rsidRDefault="008F51A4" w:rsidP="008F51A4">
      <w:pPr>
        <w:ind w:firstLine="567"/>
        <w:jc w:val="both"/>
        <w:rPr>
          <w:lang w:val="en-US"/>
        </w:rPr>
      </w:pPr>
      <w:r w:rsidRPr="00BA5143">
        <w:rPr>
          <w:lang w:val="en-US"/>
        </w:rPr>
        <w:t>The Bank recognizes revenue for contracts that do not fall within the scope of applying IFRS 16 Leases and IFRS 9 Financial Instruments, the Bank applies the following five-step model for analyzing such contracts:</w:t>
      </w:r>
    </w:p>
    <w:p w:rsidR="008F51A4" w:rsidRPr="00BA5143" w:rsidRDefault="008F51A4" w:rsidP="008F51A4">
      <w:pPr>
        <w:ind w:firstLine="567"/>
        <w:jc w:val="both"/>
        <w:rPr>
          <w:lang w:val="en-US"/>
        </w:rPr>
      </w:pPr>
      <w:r w:rsidRPr="00BA5143">
        <w:rPr>
          <w:lang w:val="en-US"/>
        </w:rPr>
        <w:t>- identification of the contract;</w:t>
      </w:r>
    </w:p>
    <w:p w:rsidR="008F51A4" w:rsidRPr="00BA5143" w:rsidRDefault="008F51A4" w:rsidP="008F51A4">
      <w:pPr>
        <w:ind w:firstLine="567"/>
        <w:jc w:val="both"/>
        <w:rPr>
          <w:lang w:val="en-US"/>
        </w:rPr>
      </w:pPr>
      <w:r w:rsidRPr="00BA5143">
        <w:rPr>
          <w:lang w:val="en-US"/>
        </w:rPr>
        <w:t>- identification of individual obligations to perform within the framework of the concluded agreement;</w:t>
      </w:r>
    </w:p>
    <w:p w:rsidR="008F51A4" w:rsidRPr="00BA5143" w:rsidRDefault="008F51A4" w:rsidP="008F51A4">
      <w:pPr>
        <w:ind w:firstLine="567"/>
        <w:jc w:val="both"/>
        <w:rPr>
          <w:lang w:val="en-US"/>
        </w:rPr>
      </w:pPr>
      <w:r w:rsidRPr="00BA5143">
        <w:rPr>
          <w:lang w:val="en-US"/>
        </w:rPr>
        <w:t>- definition of the price of the contract;</w:t>
      </w:r>
    </w:p>
    <w:p w:rsidR="008F51A4" w:rsidRPr="00BA5143" w:rsidRDefault="008F51A4" w:rsidP="008F51A4">
      <w:pPr>
        <w:ind w:firstLine="567"/>
        <w:jc w:val="both"/>
        <w:rPr>
          <w:lang w:val="en-US"/>
        </w:rPr>
      </w:pPr>
      <w:r w:rsidRPr="00BA5143">
        <w:rPr>
          <w:lang w:val="en-US"/>
        </w:rPr>
        <w:t>- distribution of the price of the agreement between the obligations to perform;</w:t>
      </w:r>
    </w:p>
    <w:p w:rsidR="008F51A4" w:rsidRPr="00BA5143" w:rsidRDefault="008F51A4" w:rsidP="008F51A4">
      <w:pPr>
        <w:ind w:firstLine="567"/>
        <w:jc w:val="both"/>
        <w:rPr>
          <w:lang w:val="en-US"/>
        </w:rPr>
      </w:pPr>
      <w:r w:rsidRPr="00BA5143">
        <w:rPr>
          <w:lang w:val="en-US"/>
        </w:rPr>
        <w:t>- recognition of income when (or as it is) fulfilled the obligation to perform.</w:t>
      </w:r>
    </w:p>
    <w:p w:rsidR="008F51A4" w:rsidRPr="00BA5143" w:rsidRDefault="008F51A4" w:rsidP="008F51A4">
      <w:pPr>
        <w:ind w:firstLine="567"/>
        <w:jc w:val="both"/>
        <w:rPr>
          <w:lang w:val="en-US"/>
        </w:rPr>
      </w:pPr>
      <w:r w:rsidRPr="00BA5143">
        <w:rPr>
          <w:lang w:val="en-US"/>
        </w:rPr>
        <w:t>Accounting for a contract with a buyer is carried out by a bank if the following conditions are fulfilled simultaneously:</w:t>
      </w:r>
    </w:p>
    <w:p w:rsidR="008F51A4" w:rsidRPr="00BA5143" w:rsidRDefault="008F51A4" w:rsidP="008F51A4">
      <w:pPr>
        <w:ind w:firstLine="567"/>
        <w:jc w:val="both"/>
        <w:rPr>
          <w:lang w:val="en-US"/>
        </w:rPr>
      </w:pPr>
      <w:r w:rsidRPr="00BA5143">
        <w:rPr>
          <w:lang w:val="en-US"/>
        </w:rPr>
        <w:t>- the parties to the contract have entered into an agreement (in writing, verbally or in accordance with another ordinary business practice) and undertake to fulfill the obligations stipulated by the agreement;</w:t>
      </w:r>
    </w:p>
    <w:p w:rsidR="008F51A4" w:rsidRPr="00BA5143" w:rsidRDefault="008F51A4" w:rsidP="008F51A4">
      <w:pPr>
        <w:ind w:firstLine="567"/>
        <w:jc w:val="both"/>
        <w:rPr>
          <w:lang w:val="en-US"/>
        </w:rPr>
      </w:pPr>
      <w:r w:rsidRPr="00BA5143">
        <w:rPr>
          <w:lang w:val="en-US"/>
        </w:rPr>
        <w:t>- the bank identifies the rights of each party in relation to the assets and services to be transferred;</w:t>
      </w:r>
    </w:p>
    <w:p w:rsidR="008F51A4" w:rsidRPr="00BA5143" w:rsidRDefault="008F51A4" w:rsidP="008F51A4">
      <w:pPr>
        <w:ind w:firstLine="567"/>
        <w:jc w:val="both"/>
        <w:rPr>
          <w:lang w:val="en-US"/>
        </w:rPr>
      </w:pPr>
      <w:r w:rsidRPr="00BA5143">
        <w:rPr>
          <w:lang w:val="en-US"/>
        </w:rPr>
        <w:t>- the bank identifies the terms of payment for assets and services to be transferred;</w:t>
      </w:r>
    </w:p>
    <w:p w:rsidR="008F51A4" w:rsidRPr="00BA5143" w:rsidRDefault="008F51A4" w:rsidP="008F51A4">
      <w:pPr>
        <w:ind w:firstLine="567"/>
        <w:jc w:val="both"/>
        <w:rPr>
          <w:lang w:val="en-US"/>
        </w:rPr>
      </w:pPr>
      <w:r w:rsidRPr="00BA5143">
        <w:rPr>
          <w:lang w:val="en-US"/>
        </w:rPr>
        <w:t>- the nature of the contract is commercial (risks, timing or future cash flows of the bank are expected to change as a result of the contract);</w:t>
      </w:r>
    </w:p>
    <w:p w:rsidR="008F51A4" w:rsidRPr="00BA5143" w:rsidRDefault="008F51A4" w:rsidP="008F51A4">
      <w:pPr>
        <w:ind w:firstLine="567"/>
        <w:jc w:val="both"/>
        <w:rPr>
          <w:lang w:val="en-US"/>
        </w:rPr>
      </w:pPr>
      <w:r w:rsidRPr="00BA5143">
        <w:rPr>
          <w:lang w:val="en-US"/>
        </w:rPr>
        <w:t>- The bank receives compensation, the right to which it will receive in exchange for the assets and services to be passed on to the buyer is probable.</w:t>
      </w:r>
    </w:p>
    <w:p w:rsidR="008F51A4" w:rsidRPr="00BA5143" w:rsidRDefault="008F51A4" w:rsidP="008F51A4">
      <w:pPr>
        <w:ind w:firstLine="567"/>
        <w:jc w:val="both"/>
        <w:rPr>
          <w:lang w:val="en-US"/>
        </w:rPr>
      </w:pPr>
      <w:r w:rsidRPr="00BA5143">
        <w:rPr>
          <w:lang w:val="en-US"/>
        </w:rPr>
        <w:t>If the contract with the counterparty does not meet the above conditions, the compensation received from the counterparty is recognized by the bank as income only in case of occurrence of any of the following events:</w:t>
      </w:r>
    </w:p>
    <w:p w:rsidR="008F51A4" w:rsidRPr="00BA5143" w:rsidRDefault="008F51A4" w:rsidP="008F51A4">
      <w:pPr>
        <w:ind w:firstLine="567"/>
        <w:jc w:val="both"/>
        <w:rPr>
          <w:lang w:val="en-US"/>
        </w:rPr>
      </w:pPr>
      <w:r w:rsidRPr="00BA5143">
        <w:rPr>
          <w:lang w:val="en-US"/>
        </w:rPr>
        <w:t>- the bank does not have unfulfilled obligations to transfer assets or services to the buyer and all or almost all compensation promised by the buyer was received by the bank and not subject to return; or</w:t>
      </w:r>
    </w:p>
    <w:p w:rsidR="008F51A4" w:rsidRPr="00BA5143" w:rsidRDefault="008F51A4" w:rsidP="008F51A4">
      <w:pPr>
        <w:ind w:firstLine="567"/>
        <w:jc w:val="both"/>
        <w:rPr>
          <w:lang w:val="en-US"/>
        </w:rPr>
      </w:pPr>
      <w:r w:rsidRPr="00BA5143">
        <w:rPr>
          <w:lang w:val="en-US"/>
        </w:rPr>
        <w:t>- the contract was terminated, and the compensation received from the buyer is not subject to return.</w:t>
      </w:r>
    </w:p>
    <w:p w:rsidR="008F51A4" w:rsidRPr="00BA5143" w:rsidRDefault="008F51A4" w:rsidP="008F51A4">
      <w:pPr>
        <w:ind w:firstLine="567"/>
        <w:jc w:val="both"/>
        <w:rPr>
          <w:lang w:val="en-US"/>
        </w:rPr>
      </w:pPr>
      <w:r w:rsidRPr="00BA5143">
        <w:rPr>
          <w:lang w:val="en-US"/>
        </w:rPr>
        <w:t>The Bank, at the date of the contract, assesses the assets or services that are the subject of the contract with the buyer and identifies as an obligation to fulfill each obligation to transfer to the buyer or asset / service (or set of assets / services) that are either separate or series Separate assets or services that are essentially identical and are transmitted / provided to the buyer under the same scheme.</w:t>
      </w:r>
    </w:p>
    <w:p w:rsidR="008F51A4" w:rsidRPr="00BA5143" w:rsidRDefault="008F51A4" w:rsidP="008F51A4">
      <w:pPr>
        <w:ind w:firstLine="567"/>
        <w:jc w:val="both"/>
        <w:rPr>
          <w:lang w:val="en-US"/>
        </w:rPr>
      </w:pPr>
      <w:r w:rsidRPr="00BA5143">
        <w:rPr>
          <w:lang w:val="en-US"/>
        </w:rPr>
        <w:t>For the purposes of this classification, the Bank uses the following criteria indicating separation of assets or services:</w:t>
      </w:r>
    </w:p>
    <w:p w:rsidR="008F51A4" w:rsidRPr="00BA5143" w:rsidRDefault="008F51A4" w:rsidP="008F51A4">
      <w:pPr>
        <w:ind w:firstLine="567"/>
        <w:jc w:val="both"/>
        <w:rPr>
          <w:lang w:val="en-US"/>
        </w:rPr>
      </w:pPr>
      <w:r w:rsidRPr="00BA5143">
        <w:rPr>
          <w:lang w:val="en-US"/>
        </w:rPr>
        <w:t>- the buyer can benefit from the asset / service either separately or together with other resources to which the buyer has free access;</w:t>
      </w:r>
    </w:p>
    <w:p w:rsidR="00362B1D" w:rsidRPr="00BA5143" w:rsidRDefault="008F51A4" w:rsidP="008F51A4">
      <w:pPr>
        <w:ind w:firstLine="567"/>
        <w:jc w:val="both"/>
        <w:rPr>
          <w:lang w:val="en-US"/>
        </w:rPr>
      </w:pPr>
      <w:r w:rsidRPr="00BA5143">
        <w:rPr>
          <w:lang w:val="en-US"/>
        </w:rPr>
        <w:t>- the obligation of the Bank to transfer / provide the asset / service to the buyer is such that it is identified separately from other promises under the contract.</w:t>
      </w:r>
    </w:p>
    <w:p w:rsidR="008F51A4" w:rsidRPr="00BA5143" w:rsidRDefault="008F51A4" w:rsidP="008F51A4">
      <w:pPr>
        <w:jc w:val="both"/>
        <w:rPr>
          <w:lang w:val="en-US"/>
        </w:rPr>
      </w:pPr>
    </w:p>
    <w:p w:rsidR="008F51A4" w:rsidRPr="00BA5143" w:rsidRDefault="008F51A4" w:rsidP="008F51A4">
      <w:pPr>
        <w:pStyle w:val="afc"/>
        <w:ind w:left="0" w:firstLine="567"/>
        <w:jc w:val="both"/>
        <w:rPr>
          <w:lang w:val="en-US"/>
        </w:rPr>
      </w:pPr>
      <w:r w:rsidRPr="00BA5143">
        <w:rPr>
          <w:lang w:val="en-US"/>
        </w:rPr>
        <w:t>The Bank combines two or more contracts concluded at the same time or almost simultaneously with one buyer and accounts for such contracts as one provided one or more of the following criteria are met:</w:t>
      </w:r>
    </w:p>
    <w:p w:rsidR="008F51A4" w:rsidRPr="00BA5143" w:rsidRDefault="008F51A4" w:rsidP="008F51A4">
      <w:pPr>
        <w:pStyle w:val="afc"/>
        <w:ind w:left="0" w:firstLine="567"/>
        <w:jc w:val="both"/>
        <w:rPr>
          <w:lang w:val="en-US"/>
        </w:rPr>
      </w:pPr>
      <w:r w:rsidRPr="00BA5143">
        <w:rPr>
          <w:lang w:val="en-US"/>
        </w:rPr>
        <w:t>- the contracts were agreed as a package for one commercial purpose;</w:t>
      </w:r>
    </w:p>
    <w:p w:rsidR="008F51A4" w:rsidRPr="00BA5143" w:rsidRDefault="008F51A4" w:rsidP="008F51A4">
      <w:pPr>
        <w:pStyle w:val="afc"/>
        <w:ind w:left="0" w:firstLine="567"/>
        <w:jc w:val="both"/>
        <w:rPr>
          <w:lang w:val="en-US"/>
        </w:rPr>
      </w:pPr>
      <w:r w:rsidRPr="00BA5143">
        <w:rPr>
          <w:lang w:val="en-US"/>
        </w:rPr>
        <w:t>- the amount of compensation under one contract depends on the price or performance of another contract;</w:t>
      </w:r>
    </w:p>
    <w:p w:rsidR="001D03AF" w:rsidRPr="00BA5143" w:rsidRDefault="008F51A4" w:rsidP="008F51A4">
      <w:pPr>
        <w:pStyle w:val="afc"/>
        <w:ind w:left="0" w:firstLine="567"/>
        <w:jc w:val="both"/>
        <w:rPr>
          <w:lang w:val="en-US"/>
        </w:rPr>
      </w:pPr>
      <w:r w:rsidRPr="00BA5143">
        <w:rPr>
          <w:lang w:val="en-US"/>
        </w:rPr>
        <w:t>- the assets / services promised under the contracts (or under each contract) constitute one obligation to perform.</w:t>
      </w:r>
    </w:p>
    <w:p w:rsidR="008F51A4" w:rsidRPr="00BA5143" w:rsidRDefault="008F51A4" w:rsidP="008F51A4">
      <w:pPr>
        <w:pStyle w:val="afc"/>
        <w:ind w:left="567"/>
        <w:jc w:val="both"/>
        <w:rPr>
          <w:lang w:val="en-US"/>
        </w:rPr>
      </w:pPr>
    </w:p>
    <w:p w:rsidR="008F51A4" w:rsidRPr="00BA5143" w:rsidRDefault="004277B6" w:rsidP="008F51A4">
      <w:pPr>
        <w:pStyle w:val="afc"/>
        <w:ind w:left="0" w:firstLine="567"/>
        <w:jc w:val="both"/>
        <w:rPr>
          <w:lang w:val="en-US"/>
        </w:rPr>
      </w:pPr>
      <w:r w:rsidRPr="00BA5143">
        <w:rPr>
          <w:lang w:val="en-US"/>
        </w:rPr>
        <w:t xml:space="preserve"> </w:t>
      </w:r>
      <w:r w:rsidR="008F51A4" w:rsidRPr="00BA5143">
        <w:rPr>
          <w:lang w:val="en-US"/>
        </w:rPr>
        <w:t>The Bank determines the transaction price as the amount of compensation it expects to receive under the contract, except for amounts received from third parties.</w:t>
      </w:r>
    </w:p>
    <w:p w:rsidR="008F51A4" w:rsidRPr="00BA5143" w:rsidRDefault="008F51A4" w:rsidP="008F51A4">
      <w:pPr>
        <w:pStyle w:val="afc"/>
        <w:ind w:left="0" w:firstLine="567"/>
        <w:jc w:val="both"/>
        <w:rPr>
          <w:lang w:val="en-US"/>
        </w:rPr>
      </w:pPr>
      <w:r w:rsidRPr="00BA5143">
        <w:rPr>
          <w:lang w:val="en-US"/>
        </w:rPr>
        <w:t>The contract price includes direct costs that are directly related to such a contract - labor costs, management costs of the contract and control over its implementation, costs that are payable to the buyer in full. Other expenses The Bank, including the costs of the contract, recognizes as part of the reporting period in which they were incurred.</w:t>
      </w:r>
    </w:p>
    <w:p w:rsidR="00E701A5" w:rsidRPr="00BA5143" w:rsidRDefault="008F51A4" w:rsidP="008F51A4">
      <w:pPr>
        <w:pStyle w:val="afc"/>
        <w:ind w:left="0" w:firstLine="567"/>
        <w:jc w:val="both"/>
        <w:rPr>
          <w:lang w:val="en-US"/>
        </w:rPr>
      </w:pPr>
      <w:r w:rsidRPr="00BA5143">
        <w:rPr>
          <w:lang w:val="en-US"/>
        </w:rPr>
        <w:t>Income is recognized on the basis of the price of the contract by proportional distribution of the obligation, with the fulfillment of such an obligation by transferring / rendering / asset / service, etc. For each commitment to be executed during the period, the Bank recognizes revenue by assessing the extent to which the obligations are fulfilled with the use of the results method. In case of impossibility to reliably estimate the result, the bank recognizes income in the amount of incurred expenses.</w:t>
      </w:r>
    </w:p>
    <w:p w:rsidR="008F51A4" w:rsidRPr="00BA5143" w:rsidRDefault="008F51A4" w:rsidP="008F51A4">
      <w:pPr>
        <w:pStyle w:val="afc"/>
        <w:ind w:left="0" w:firstLine="567"/>
        <w:jc w:val="both"/>
        <w:rPr>
          <w:b/>
          <w:i/>
          <w:highlight w:val="yellow"/>
          <w:lang w:val="en-US"/>
        </w:rPr>
      </w:pPr>
    </w:p>
    <w:p w:rsidR="00DB78E6" w:rsidRPr="00BA5143" w:rsidRDefault="00DB78E6" w:rsidP="00DB78E6">
      <w:pPr>
        <w:ind w:firstLine="540"/>
        <w:jc w:val="both"/>
        <w:rPr>
          <w:b/>
          <w:iCs/>
          <w:lang w:val="en-US"/>
        </w:rPr>
      </w:pPr>
      <w:r w:rsidRPr="00BA5143">
        <w:rPr>
          <w:b/>
          <w:iCs/>
          <w:lang w:val="en-US"/>
        </w:rPr>
        <w:t>4.33. Revaluation of foreign currency</w:t>
      </w:r>
    </w:p>
    <w:p w:rsidR="00DB78E6" w:rsidRPr="00BA5143" w:rsidRDefault="00DB78E6" w:rsidP="00DB78E6">
      <w:pPr>
        <w:ind w:firstLine="540"/>
        <w:jc w:val="both"/>
        <w:rPr>
          <w:b/>
          <w:i/>
          <w:lang w:val="en-US"/>
        </w:rPr>
      </w:pPr>
    </w:p>
    <w:p w:rsidR="00DB78E6" w:rsidRPr="00BA5143" w:rsidRDefault="00DB78E6" w:rsidP="00DB78E6">
      <w:pPr>
        <w:ind w:firstLine="540"/>
        <w:jc w:val="both"/>
        <w:rPr>
          <w:bCs/>
          <w:iCs/>
          <w:lang w:val="en-US"/>
        </w:rPr>
      </w:pPr>
      <w:r w:rsidRPr="00BA5143">
        <w:rPr>
          <w:bCs/>
          <w:iCs/>
          <w:lang w:val="en-US"/>
        </w:rPr>
        <w:t>Foreign currency transactions are initially measured and recorded in accounting in the reporting currency by the conversion of the amount in foreign currency according to the official (accounting) rate of the hryvnia to foreign currencies established by the National Bank of Ukraine at the date of the transaction (date of recognition of assets, liabilities, equity, income and expenses).</w:t>
      </w:r>
    </w:p>
    <w:p w:rsidR="00DB78E6" w:rsidRPr="00BA5143" w:rsidRDefault="00DB78E6" w:rsidP="00DB78E6">
      <w:pPr>
        <w:ind w:firstLine="540"/>
        <w:jc w:val="both"/>
        <w:rPr>
          <w:bCs/>
          <w:iCs/>
          <w:lang w:val="en-US"/>
        </w:rPr>
      </w:pPr>
      <w:r w:rsidRPr="00BA5143">
        <w:rPr>
          <w:bCs/>
          <w:iCs/>
          <w:lang w:val="en-US"/>
        </w:rPr>
        <w:t>Initially, an operation in foreign currency is accounted for in the currency of Ukraine - UAH - by applying to the amount in foreign currency the current exchange rate on the date of the transaction.</w:t>
      </w:r>
    </w:p>
    <w:p w:rsidR="00DB78E6" w:rsidRPr="00BA5143" w:rsidRDefault="00DB78E6" w:rsidP="00DB78E6">
      <w:pPr>
        <w:ind w:firstLine="540"/>
        <w:jc w:val="both"/>
        <w:rPr>
          <w:bCs/>
          <w:iCs/>
          <w:lang w:val="en-US"/>
        </w:rPr>
      </w:pPr>
      <w:r w:rsidRPr="00BA5143">
        <w:rPr>
          <w:bCs/>
          <w:iCs/>
          <w:lang w:val="en-US"/>
        </w:rPr>
        <w:t>For each subsequent balance sheet date after recognition:</w:t>
      </w:r>
    </w:p>
    <w:p w:rsidR="00DB78E6" w:rsidRPr="00BA5143" w:rsidRDefault="00DB78E6" w:rsidP="00DB78E6">
      <w:pPr>
        <w:ind w:firstLine="540"/>
        <w:jc w:val="both"/>
        <w:rPr>
          <w:bCs/>
          <w:iCs/>
          <w:lang w:val="en-US"/>
        </w:rPr>
      </w:pPr>
      <w:r w:rsidRPr="00BA5143">
        <w:rPr>
          <w:bCs/>
          <w:iCs/>
          <w:lang w:val="en-US"/>
        </w:rPr>
        <w:t>- all monetary items in foreign currency are recorded in the accounting at the official (accounting) rate of hryvnia to foreign currencies at the balance sheet date;</w:t>
      </w:r>
    </w:p>
    <w:p w:rsidR="00DB78E6" w:rsidRPr="00BA5143" w:rsidRDefault="00DB78E6" w:rsidP="00DB78E6">
      <w:pPr>
        <w:ind w:firstLine="540"/>
        <w:jc w:val="both"/>
        <w:rPr>
          <w:bCs/>
          <w:iCs/>
          <w:lang w:val="en-US"/>
        </w:rPr>
      </w:pPr>
      <w:r w:rsidRPr="00BA5143">
        <w:rPr>
          <w:bCs/>
          <w:iCs/>
          <w:lang w:val="en-US"/>
        </w:rPr>
        <w:t>- non-monetary items in foreign currency recorded at cost are recorded in the accounting at the official (accounting) exchange rate of the hryvnia to foreign currencies at the date of recognition (date of transaction);</w:t>
      </w:r>
    </w:p>
    <w:p w:rsidR="00DB78E6" w:rsidRPr="00BA5143" w:rsidRDefault="00DB78E6" w:rsidP="00DB78E6">
      <w:pPr>
        <w:ind w:firstLine="540"/>
        <w:jc w:val="both"/>
        <w:rPr>
          <w:bCs/>
          <w:iCs/>
          <w:lang w:val="en-US"/>
        </w:rPr>
      </w:pPr>
      <w:r w:rsidRPr="00BA5143">
        <w:rPr>
          <w:bCs/>
          <w:iCs/>
          <w:lang w:val="en-US"/>
        </w:rPr>
        <w:t>- non-monetary items in foreign currency recorded at fair value are recorded in the accounting at the official (accounting) exchange rate of hryvnia to foreign currencies at the date of determination of their fair value.</w:t>
      </w:r>
    </w:p>
    <w:p w:rsidR="00DB78E6" w:rsidRPr="00BA5143" w:rsidRDefault="00DB78E6" w:rsidP="00DB78E6">
      <w:pPr>
        <w:ind w:firstLine="540"/>
        <w:jc w:val="both"/>
        <w:rPr>
          <w:bCs/>
          <w:iCs/>
          <w:lang w:val="en-US"/>
        </w:rPr>
      </w:pPr>
      <w:r w:rsidRPr="00BA5143">
        <w:rPr>
          <w:bCs/>
          <w:iCs/>
          <w:lang w:val="en-US"/>
        </w:rPr>
        <w:t>Assets and liabilities denominated in foreign currencies are recorded in the financial statements in UAH equivalent at the official (accounting) rate at the date of the reporting or on the date of their recognition.</w:t>
      </w:r>
    </w:p>
    <w:p w:rsidR="00DB78E6" w:rsidRPr="00BA5143" w:rsidRDefault="00DB78E6" w:rsidP="00DB78E6">
      <w:pPr>
        <w:ind w:firstLine="540"/>
        <w:jc w:val="both"/>
        <w:rPr>
          <w:lang w:val="en-US"/>
        </w:rPr>
      </w:pPr>
      <w:r w:rsidRPr="00BA5143">
        <w:rPr>
          <w:lang w:val="en-US"/>
        </w:rPr>
        <w:t>In accordance with IAS 21 “The Effect of Changes in Foreign Exchange Rates”, non-monetary items whose inclusion on the Balance Sheet is related to transactions in foreign currency are recorded in Ukrainian Hryvnia Financial Statements at the official exchange rate at the date of the transaction.</w:t>
      </w:r>
    </w:p>
    <w:p w:rsidR="00DB78E6" w:rsidRPr="00BA5143" w:rsidRDefault="00DB78E6" w:rsidP="00DB78E6">
      <w:pPr>
        <w:ind w:firstLine="540"/>
        <w:jc w:val="both"/>
        <w:rPr>
          <w:lang w:val="en-US"/>
        </w:rPr>
      </w:pPr>
      <w:r w:rsidRPr="00BA5143">
        <w:rPr>
          <w:lang w:val="en-US"/>
        </w:rPr>
        <w:t>Income and expenses (accrued, received, paid) in foreign currency are recorded in national currency income and expenditure accounts at official exchange rates of hryvnia to foreign currencies at the date of their recognition. Revenues and expenses of future periods in foreign currency by monetary assets and liabilities are revalued in the reporting currency at each change in official exchange rates of hryvnia to foreign currencies up to the time of their recognition (reflected in income and expenses accounts in the corresponding reporting period). Revenues and expenses of future periods in foreign currency for non-monetary items are recorded in the reporting at official exchange rates of hryvnia to foreign currencies at the date of their occurrence and are not revalued at each change of official exchange rates of hryvnia to foreign currencies until the time of their recognition on the respective income and expenditure accounts of the classes.</w:t>
      </w:r>
    </w:p>
    <w:p w:rsidR="009B08F6" w:rsidRPr="00BA5143" w:rsidRDefault="00DB78E6" w:rsidP="00DB78E6">
      <w:pPr>
        <w:ind w:firstLine="540"/>
        <w:jc w:val="both"/>
        <w:rPr>
          <w:lang w:val="en-US"/>
        </w:rPr>
      </w:pPr>
      <w:r w:rsidRPr="00BA5143">
        <w:rPr>
          <w:lang w:val="en-US"/>
        </w:rPr>
        <w:lastRenderedPageBreak/>
        <w:t>To prepare the financial statements, the Bank used the following exchange rates to prepare the financial statements that were effective at the end of the relevant periods:</w:t>
      </w:r>
    </w:p>
    <w:p w:rsidR="00DB78E6" w:rsidRPr="00BA5143" w:rsidRDefault="00DB78E6" w:rsidP="00DB78E6">
      <w:pPr>
        <w:ind w:firstLine="540"/>
        <w:jc w:val="both"/>
        <w:rPr>
          <w:highlight w:val="yellow"/>
          <w:lang w:val="en-US"/>
        </w:rPr>
      </w:pPr>
    </w:p>
    <w:tbl>
      <w:tblPr>
        <w:tblW w:w="7332" w:type="dxa"/>
        <w:tblLook w:val="00A0"/>
      </w:tblPr>
      <w:tblGrid>
        <w:gridCol w:w="3720"/>
        <w:gridCol w:w="1806"/>
        <w:gridCol w:w="1806"/>
      </w:tblGrid>
      <w:tr w:rsidR="00D2700D" w:rsidRPr="00BA5143" w:rsidTr="00D2700D">
        <w:trPr>
          <w:trHeight w:val="266"/>
        </w:trPr>
        <w:tc>
          <w:tcPr>
            <w:tcW w:w="3720" w:type="dxa"/>
            <w:tcBorders>
              <w:bottom w:val="single" w:sz="4" w:space="0" w:color="auto"/>
            </w:tcBorders>
          </w:tcPr>
          <w:p w:rsidR="00D2700D" w:rsidRPr="00BA5143" w:rsidRDefault="00DB78E6" w:rsidP="009B08F6">
            <w:pPr>
              <w:jc w:val="center"/>
              <w:rPr>
                <w:lang w:val="en-US"/>
              </w:rPr>
            </w:pPr>
            <w:r w:rsidRPr="00BA5143">
              <w:rPr>
                <w:lang w:val="en-US"/>
              </w:rPr>
              <w:t>Currency</w:t>
            </w:r>
          </w:p>
        </w:tc>
        <w:tc>
          <w:tcPr>
            <w:tcW w:w="1806" w:type="dxa"/>
            <w:tcBorders>
              <w:bottom w:val="single" w:sz="4" w:space="0" w:color="auto"/>
            </w:tcBorders>
          </w:tcPr>
          <w:p w:rsidR="00D2700D" w:rsidRPr="00BA5143" w:rsidRDefault="00DB78E6" w:rsidP="008C2001">
            <w:pPr>
              <w:jc w:val="center"/>
              <w:rPr>
                <w:lang w:val="en-US"/>
              </w:rPr>
            </w:pPr>
            <w:r w:rsidRPr="00BA5143">
              <w:rPr>
                <w:lang w:val="en-US"/>
              </w:rPr>
              <w:t>December 31</w:t>
            </w:r>
            <w:r w:rsidR="00D97C4E" w:rsidRPr="00BA5143">
              <w:rPr>
                <w:lang w:val="en-US"/>
              </w:rPr>
              <w:t>,</w:t>
            </w:r>
            <w:r w:rsidR="00D2700D" w:rsidRPr="00BA5143">
              <w:rPr>
                <w:lang w:val="en-US"/>
              </w:rPr>
              <w:t xml:space="preserve"> 201</w:t>
            </w:r>
            <w:r w:rsidR="008C2001" w:rsidRPr="00BA5143">
              <w:rPr>
                <w:lang w:val="en-US"/>
              </w:rPr>
              <w:t>8</w:t>
            </w:r>
          </w:p>
        </w:tc>
        <w:tc>
          <w:tcPr>
            <w:tcW w:w="1806" w:type="dxa"/>
            <w:tcBorders>
              <w:bottom w:val="single" w:sz="4" w:space="0" w:color="auto"/>
            </w:tcBorders>
          </w:tcPr>
          <w:p w:rsidR="00D2700D" w:rsidRPr="00BA5143" w:rsidRDefault="00D97C4E" w:rsidP="008C2001">
            <w:pPr>
              <w:jc w:val="center"/>
              <w:rPr>
                <w:lang w:val="en-US"/>
              </w:rPr>
            </w:pPr>
            <w:r w:rsidRPr="00BA5143">
              <w:rPr>
                <w:lang w:val="en-US"/>
              </w:rPr>
              <w:t>December 31,</w:t>
            </w:r>
            <w:r w:rsidR="00523F35" w:rsidRPr="00BA5143">
              <w:rPr>
                <w:lang w:val="en-US"/>
              </w:rPr>
              <w:t xml:space="preserve"> 201</w:t>
            </w:r>
            <w:r w:rsidR="008C2001" w:rsidRPr="00BA5143">
              <w:rPr>
                <w:lang w:val="en-US"/>
              </w:rPr>
              <w:t>7</w:t>
            </w:r>
          </w:p>
        </w:tc>
      </w:tr>
      <w:tr w:rsidR="00207506" w:rsidRPr="00BA5143" w:rsidTr="00D2700D">
        <w:trPr>
          <w:trHeight w:val="266"/>
        </w:trPr>
        <w:tc>
          <w:tcPr>
            <w:tcW w:w="3720" w:type="dxa"/>
            <w:tcBorders>
              <w:top w:val="single" w:sz="4" w:space="0" w:color="auto"/>
            </w:tcBorders>
          </w:tcPr>
          <w:p w:rsidR="00207506" w:rsidRPr="00BA5143" w:rsidRDefault="00207506" w:rsidP="009B08F6">
            <w:pPr>
              <w:jc w:val="both"/>
              <w:rPr>
                <w:lang w:val="en-US"/>
              </w:rPr>
            </w:pPr>
            <w:r w:rsidRPr="00BA5143">
              <w:rPr>
                <w:lang w:val="en-US"/>
              </w:rPr>
              <w:t xml:space="preserve">100 </w:t>
            </w:r>
            <w:r w:rsidR="00D97C4E" w:rsidRPr="00BA5143">
              <w:rPr>
                <w:lang w:val="en-US"/>
              </w:rPr>
              <w:t>USD</w:t>
            </w:r>
          </w:p>
        </w:tc>
        <w:tc>
          <w:tcPr>
            <w:tcW w:w="1806" w:type="dxa"/>
            <w:tcBorders>
              <w:top w:val="single" w:sz="4" w:space="0" w:color="auto"/>
            </w:tcBorders>
          </w:tcPr>
          <w:p w:rsidR="00207506" w:rsidRPr="00BA5143" w:rsidRDefault="00207506" w:rsidP="006C5B70">
            <w:pPr>
              <w:jc w:val="right"/>
              <w:rPr>
                <w:lang w:val="en-US"/>
              </w:rPr>
            </w:pPr>
            <w:r w:rsidRPr="00BA5143">
              <w:rPr>
                <w:lang w:val="en-US"/>
              </w:rPr>
              <w:t>2</w:t>
            </w:r>
            <w:r w:rsidR="006C5B70" w:rsidRPr="00BA5143">
              <w:rPr>
                <w:lang w:val="en-US"/>
              </w:rPr>
              <w:t> 768,8264</w:t>
            </w:r>
          </w:p>
        </w:tc>
        <w:tc>
          <w:tcPr>
            <w:tcW w:w="1806" w:type="dxa"/>
            <w:tcBorders>
              <w:top w:val="single" w:sz="4" w:space="0" w:color="auto"/>
            </w:tcBorders>
          </w:tcPr>
          <w:p w:rsidR="00207506" w:rsidRPr="00BA5143" w:rsidRDefault="00207506" w:rsidP="00972CBF">
            <w:pPr>
              <w:jc w:val="right"/>
              <w:rPr>
                <w:lang w:val="en-US"/>
              </w:rPr>
            </w:pPr>
            <w:r w:rsidRPr="00BA5143">
              <w:rPr>
                <w:lang w:val="en-US"/>
              </w:rPr>
              <w:t>2 806,7223</w:t>
            </w:r>
          </w:p>
        </w:tc>
      </w:tr>
      <w:tr w:rsidR="00207506" w:rsidRPr="00BA5143" w:rsidTr="00D2700D">
        <w:trPr>
          <w:trHeight w:val="281"/>
        </w:trPr>
        <w:tc>
          <w:tcPr>
            <w:tcW w:w="3720" w:type="dxa"/>
          </w:tcPr>
          <w:p w:rsidR="00207506" w:rsidRPr="00BA5143" w:rsidRDefault="00207506" w:rsidP="009B08F6">
            <w:pPr>
              <w:jc w:val="both"/>
              <w:rPr>
                <w:lang w:val="en-US"/>
              </w:rPr>
            </w:pPr>
            <w:r w:rsidRPr="00BA5143">
              <w:rPr>
                <w:lang w:val="en-US"/>
              </w:rPr>
              <w:t xml:space="preserve">100 </w:t>
            </w:r>
            <w:r w:rsidR="00D97C4E" w:rsidRPr="00BA5143">
              <w:rPr>
                <w:lang w:val="en-US"/>
              </w:rPr>
              <w:t>EURO</w:t>
            </w:r>
          </w:p>
        </w:tc>
        <w:tc>
          <w:tcPr>
            <w:tcW w:w="1806" w:type="dxa"/>
          </w:tcPr>
          <w:p w:rsidR="00207506" w:rsidRPr="00BA5143" w:rsidRDefault="00207506" w:rsidP="006C5B70">
            <w:pPr>
              <w:jc w:val="right"/>
              <w:rPr>
                <w:lang w:val="en-US"/>
              </w:rPr>
            </w:pPr>
            <w:r w:rsidRPr="00BA5143">
              <w:rPr>
                <w:lang w:val="en-US"/>
              </w:rPr>
              <w:t>3</w:t>
            </w:r>
            <w:r w:rsidR="006C5B70" w:rsidRPr="00BA5143">
              <w:rPr>
                <w:lang w:val="en-US"/>
              </w:rPr>
              <w:t> 171,4138</w:t>
            </w:r>
          </w:p>
        </w:tc>
        <w:tc>
          <w:tcPr>
            <w:tcW w:w="1806" w:type="dxa"/>
          </w:tcPr>
          <w:p w:rsidR="00207506" w:rsidRPr="00BA5143" w:rsidRDefault="00207506" w:rsidP="00972CBF">
            <w:pPr>
              <w:jc w:val="right"/>
              <w:rPr>
                <w:lang w:val="en-US"/>
              </w:rPr>
            </w:pPr>
            <w:r w:rsidRPr="00BA5143">
              <w:rPr>
                <w:lang w:val="en-US"/>
              </w:rPr>
              <w:t>3 349,5424</w:t>
            </w:r>
          </w:p>
        </w:tc>
      </w:tr>
      <w:tr w:rsidR="00D650BC" w:rsidRPr="00BA5143" w:rsidTr="00D2700D">
        <w:trPr>
          <w:trHeight w:val="281"/>
        </w:trPr>
        <w:tc>
          <w:tcPr>
            <w:tcW w:w="3720" w:type="dxa"/>
          </w:tcPr>
          <w:p w:rsidR="00D650BC" w:rsidRPr="00BA5143" w:rsidRDefault="006C5B70" w:rsidP="009B08F6">
            <w:pPr>
              <w:jc w:val="both"/>
              <w:rPr>
                <w:lang w:val="en-US"/>
              </w:rPr>
            </w:pPr>
            <w:r w:rsidRPr="00BA5143">
              <w:rPr>
                <w:lang w:val="en-US"/>
              </w:rPr>
              <w:t xml:space="preserve">100 </w:t>
            </w:r>
            <w:r w:rsidR="00D97C4E" w:rsidRPr="00BA5143">
              <w:rPr>
                <w:lang w:val="en-US"/>
              </w:rPr>
              <w:t>YUAN</w:t>
            </w:r>
          </w:p>
        </w:tc>
        <w:tc>
          <w:tcPr>
            <w:tcW w:w="1806" w:type="dxa"/>
          </w:tcPr>
          <w:p w:rsidR="00D650BC" w:rsidRPr="00BA5143" w:rsidRDefault="006C5B70" w:rsidP="00F57476">
            <w:pPr>
              <w:jc w:val="right"/>
              <w:rPr>
                <w:lang w:val="en-US"/>
              </w:rPr>
            </w:pPr>
            <w:r w:rsidRPr="00BA5143">
              <w:rPr>
                <w:lang w:val="en-US"/>
              </w:rPr>
              <w:t>402,5761</w:t>
            </w:r>
          </w:p>
        </w:tc>
        <w:tc>
          <w:tcPr>
            <w:tcW w:w="1806" w:type="dxa"/>
          </w:tcPr>
          <w:p w:rsidR="00D650BC" w:rsidRPr="00BA5143" w:rsidRDefault="006C5B70" w:rsidP="00972CBF">
            <w:pPr>
              <w:jc w:val="right"/>
              <w:rPr>
                <w:lang w:val="en-US"/>
              </w:rPr>
            </w:pPr>
            <w:r w:rsidRPr="00BA5143">
              <w:rPr>
                <w:lang w:val="en-US"/>
              </w:rPr>
              <w:t>-</w:t>
            </w:r>
          </w:p>
        </w:tc>
      </w:tr>
    </w:tbl>
    <w:p w:rsidR="009B08F6" w:rsidRPr="00BA5143" w:rsidRDefault="009B08F6" w:rsidP="009B08F6">
      <w:pPr>
        <w:ind w:firstLine="540"/>
        <w:jc w:val="both"/>
        <w:rPr>
          <w:iCs/>
          <w:highlight w:val="yellow"/>
          <w:lang w:val="en-US"/>
        </w:rPr>
      </w:pPr>
    </w:p>
    <w:p w:rsidR="00D97C4E" w:rsidRPr="00BA5143" w:rsidRDefault="00D97C4E" w:rsidP="00D97C4E">
      <w:pPr>
        <w:ind w:firstLine="540"/>
        <w:jc w:val="both"/>
        <w:rPr>
          <w:b/>
          <w:iCs/>
          <w:lang w:val="en-US"/>
        </w:rPr>
      </w:pPr>
      <w:r w:rsidRPr="00BA5143">
        <w:rPr>
          <w:b/>
          <w:iCs/>
          <w:lang w:val="en-US"/>
        </w:rPr>
        <w:t>4.34. Offsetting of articles of assets and liabilities</w:t>
      </w:r>
    </w:p>
    <w:p w:rsidR="00D97C4E" w:rsidRPr="00BA5143" w:rsidRDefault="00D97C4E" w:rsidP="00D97C4E">
      <w:pPr>
        <w:ind w:firstLine="540"/>
        <w:jc w:val="both"/>
        <w:rPr>
          <w:bCs/>
          <w:iCs/>
          <w:lang w:val="en-US"/>
        </w:rPr>
      </w:pPr>
    </w:p>
    <w:p w:rsidR="00495FF8" w:rsidRPr="00BA5143" w:rsidRDefault="00D97C4E" w:rsidP="00D97C4E">
      <w:pPr>
        <w:ind w:firstLine="540"/>
        <w:jc w:val="both"/>
        <w:rPr>
          <w:bCs/>
          <w:iCs/>
          <w:lang w:val="en-US"/>
        </w:rPr>
      </w:pPr>
      <w:r w:rsidRPr="00BA5143">
        <w:rPr>
          <w:bCs/>
          <w:iCs/>
          <w:lang w:val="en-US"/>
        </w:rPr>
        <w:t>Financial assets and financial liabilities are cumulated only where there is a legally enforceable right to cancel certain amounts and when the Bank intends to repay the liability on a net basis or sell the asset and simultaneously repay the liability.</w:t>
      </w:r>
    </w:p>
    <w:p w:rsidR="00D97C4E" w:rsidRPr="00BA5143" w:rsidRDefault="00D97C4E" w:rsidP="00D97C4E">
      <w:pPr>
        <w:ind w:firstLine="540"/>
        <w:jc w:val="both"/>
        <w:rPr>
          <w:lang w:val="en-US"/>
        </w:rPr>
      </w:pPr>
    </w:p>
    <w:p w:rsidR="00D97C4E" w:rsidRPr="00BA5143" w:rsidRDefault="00D97C4E" w:rsidP="00D97C4E">
      <w:pPr>
        <w:ind w:firstLine="540"/>
        <w:rPr>
          <w:b/>
          <w:iCs/>
          <w:lang w:val="en-US"/>
        </w:rPr>
      </w:pPr>
      <w:r w:rsidRPr="00BA5143">
        <w:rPr>
          <w:b/>
          <w:iCs/>
          <w:lang w:val="en-US"/>
        </w:rPr>
        <w:t xml:space="preserve">4.35. </w:t>
      </w:r>
      <w:r w:rsidR="00A66D54" w:rsidRPr="00BA5143">
        <w:rPr>
          <w:b/>
          <w:iCs/>
          <w:lang w:val="en-US"/>
        </w:rPr>
        <w:t>E</w:t>
      </w:r>
      <w:r w:rsidRPr="00BA5143">
        <w:rPr>
          <w:b/>
          <w:iCs/>
          <w:lang w:val="en-US"/>
        </w:rPr>
        <w:t>mployee</w:t>
      </w:r>
      <w:r w:rsidR="00A66D54" w:rsidRPr="00BA5143">
        <w:rPr>
          <w:b/>
          <w:iCs/>
          <w:lang w:val="en-US"/>
        </w:rPr>
        <w:t xml:space="preserve"> benefits</w:t>
      </w:r>
    </w:p>
    <w:p w:rsidR="00D97C4E" w:rsidRPr="00BA5143" w:rsidRDefault="00D97C4E" w:rsidP="00D97C4E">
      <w:pPr>
        <w:ind w:firstLine="540"/>
        <w:rPr>
          <w:b/>
          <w:i/>
          <w:lang w:val="en-US"/>
        </w:rPr>
      </w:pPr>
    </w:p>
    <w:p w:rsidR="00D97C4E" w:rsidRPr="00BA5143" w:rsidRDefault="00D97C4E" w:rsidP="00D97C4E">
      <w:pPr>
        <w:ind w:firstLine="540"/>
        <w:rPr>
          <w:bCs/>
          <w:iCs/>
          <w:lang w:val="en-US"/>
        </w:rPr>
      </w:pPr>
      <w:r w:rsidRPr="00BA5143">
        <w:rPr>
          <w:bCs/>
          <w:iCs/>
          <w:lang w:val="en-US"/>
        </w:rPr>
        <w:t>Employee benefits include current payouts. Current payments to employees include: wages and salaries, other payroll taxes; pay for time not worked (annual leave and other paid unprocessed time); bonuses and other incentive payments payable within twelve months after the end of the period in which the employees perform the relevant work, etc.</w:t>
      </w:r>
    </w:p>
    <w:p w:rsidR="00D97C4E" w:rsidRPr="00BA5143" w:rsidRDefault="00D97C4E" w:rsidP="00D97C4E">
      <w:pPr>
        <w:ind w:firstLine="540"/>
        <w:rPr>
          <w:bCs/>
          <w:iCs/>
          <w:lang w:val="en-US"/>
        </w:rPr>
      </w:pPr>
      <w:r w:rsidRPr="00BA5143">
        <w:rPr>
          <w:bCs/>
          <w:iCs/>
          <w:lang w:val="en-US"/>
        </w:rPr>
        <w:t>The accrued amount of employee benefits for work performed by them during the reporting period is recognized as current liability.</w:t>
      </w:r>
    </w:p>
    <w:p w:rsidR="00D64611" w:rsidRPr="00BA5143" w:rsidRDefault="00D97C4E" w:rsidP="00D97C4E">
      <w:pPr>
        <w:ind w:firstLine="540"/>
        <w:rPr>
          <w:bCs/>
          <w:iCs/>
          <w:lang w:val="en-US"/>
        </w:rPr>
      </w:pPr>
      <w:r w:rsidRPr="00BA5143">
        <w:rPr>
          <w:bCs/>
          <w:iCs/>
          <w:lang w:val="en-US"/>
        </w:rPr>
        <w:t>Payments for unprocessed time that are subject to accumulation are recognized as liabilities due to the provision of security in the reporting period. Payments for unprocessed time that are not subject to accumulation are recognized as liabilities in the period in which the time of absence of the employee at work is payable.</w:t>
      </w:r>
    </w:p>
    <w:p w:rsidR="00D97C4E" w:rsidRPr="00BA5143" w:rsidRDefault="00D97C4E" w:rsidP="00D97C4E">
      <w:pPr>
        <w:ind w:firstLine="540"/>
        <w:jc w:val="center"/>
        <w:rPr>
          <w:b/>
          <w:i/>
          <w:lang w:val="en-US"/>
        </w:rPr>
      </w:pPr>
    </w:p>
    <w:p w:rsidR="00A66D54" w:rsidRPr="00BA5143" w:rsidRDefault="00A66D54" w:rsidP="00A66D54">
      <w:pPr>
        <w:ind w:firstLine="708"/>
        <w:jc w:val="both"/>
        <w:rPr>
          <w:b/>
          <w:iCs/>
          <w:lang w:val="en-US"/>
        </w:rPr>
      </w:pPr>
      <w:r w:rsidRPr="00BA5143">
        <w:rPr>
          <w:b/>
          <w:iCs/>
          <w:lang w:val="en-US"/>
        </w:rPr>
        <w:t>4.36. Information on operating segments</w:t>
      </w:r>
    </w:p>
    <w:p w:rsidR="00A66D54" w:rsidRPr="00BA5143" w:rsidRDefault="00A66D54" w:rsidP="00A66D54">
      <w:pPr>
        <w:ind w:firstLine="708"/>
        <w:jc w:val="both"/>
        <w:rPr>
          <w:b/>
          <w:i/>
          <w:lang w:val="en-US"/>
        </w:rPr>
      </w:pPr>
    </w:p>
    <w:p w:rsidR="00A66D54" w:rsidRPr="00BA5143" w:rsidRDefault="00A66D54" w:rsidP="00A66D54">
      <w:pPr>
        <w:ind w:firstLine="708"/>
        <w:jc w:val="both"/>
        <w:rPr>
          <w:bCs/>
          <w:iCs/>
          <w:lang w:val="en-US"/>
        </w:rPr>
      </w:pPr>
      <w:r w:rsidRPr="00BA5143">
        <w:rPr>
          <w:bCs/>
          <w:iCs/>
          <w:lang w:val="en-US"/>
        </w:rPr>
        <w:t>A segment is a segregated business component that provides products or services (operating segment) or is engaged in the provision of products or services in a separate economic region (geographical segment), and whose performance or assets represent at least ten percent of all segments, or, in the opinion of management Bank, which are important for the Bank. The segment has inherent risks and profitability, which differ from other segments of activity.</w:t>
      </w:r>
    </w:p>
    <w:p w:rsidR="00A66D54" w:rsidRPr="00BA5143" w:rsidRDefault="00A66D54" w:rsidP="00A66D54">
      <w:pPr>
        <w:ind w:firstLine="708"/>
        <w:jc w:val="both"/>
        <w:rPr>
          <w:bCs/>
          <w:iCs/>
          <w:lang w:val="en-US"/>
        </w:rPr>
      </w:pPr>
      <w:r w:rsidRPr="00BA5143">
        <w:rPr>
          <w:bCs/>
          <w:iCs/>
          <w:lang w:val="en-US"/>
        </w:rPr>
        <w:t>Information about the operating segment is presented separately in the reporting, if such information meets any of the quantitative criteria:</w:t>
      </w:r>
    </w:p>
    <w:p w:rsidR="00A66D54" w:rsidRPr="00BA5143" w:rsidRDefault="00A66D54" w:rsidP="00A66D54">
      <w:pPr>
        <w:ind w:firstLine="708"/>
        <w:jc w:val="both"/>
        <w:rPr>
          <w:bCs/>
          <w:iCs/>
          <w:lang w:val="en-US"/>
        </w:rPr>
      </w:pPr>
      <w:r w:rsidRPr="00BA5143">
        <w:rPr>
          <w:bCs/>
          <w:iCs/>
          <w:lang w:val="en-US"/>
        </w:rPr>
        <w:t>- the income of this segment from the sale of products, services to external buyers and for economic calculations is 10% or more of the total income (including banking within the segment);</w:t>
      </w:r>
    </w:p>
    <w:p w:rsidR="00A66D54" w:rsidRPr="00BA5143" w:rsidRDefault="00A66D54" w:rsidP="00A66D54">
      <w:pPr>
        <w:ind w:firstLine="708"/>
        <w:jc w:val="both"/>
        <w:rPr>
          <w:bCs/>
          <w:iCs/>
          <w:lang w:val="en-US"/>
        </w:rPr>
      </w:pPr>
      <w:r w:rsidRPr="00BA5143">
        <w:rPr>
          <w:bCs/>
          <w:iCs/>
          <w:lang w:val="en-US"/>
        </w:rPr>
        <w:t>- the financial result of this segment is not less than 10% of the total financial result of all segments of a certain type (that is, not less than 10% of the greater of two absolute values ​​- the total amount of profit or the total amount of loss of all segments);</w:t>
      </w:r>
    </w:p>
    <w:p w:rsidR="00A66D54" w:rsidRPr="00BA5143" w:rsidRDefault="00A66D54" w:rsidP="00A66D54">
      <w:pPr>
        <w:ind w:firstLine="708"/>
        <w:jc w:val="both"/>
        <w:rPr>
          <w:bCs/>
          <w:iCs/>
          <w:lang w:val="en-US"/>
        </w:rPr>
      </w:pPr>
      <w:r w:rsidRPr="00BA5143">
        <w:rPr>
          <w:bCs/>
          <w:iCs/>
          <w:lang w:val="en-US"/>
        </w:rPr>
        <w:t>- the carrying amount of the assets of the segment is 10% or more of the total book value of all segments of a particular type.</w:t>
      </w:r>
    </w:p>
    <w:p w:rsidR="00A66D54" w:rsidRPr="00BA5143" w:rsidRDefault="00A66D54" w:rsidP="00A66D54">
      <w:pPr>
        <w:ind w:firstLine="708"/>
        <w:jc w:val="both"/>
        <w:rPr>
          <w:lang w:val="en-US"/>
        </w:rPr>
      </w:pPr>
      <w:r w:rsidRPr="00BA5143">
        <w:rPr>
          <w:lang w:val="en-US"/>
        </w:rPr>
        <w:t>The reporting segments are formed by the Bank on the basis of the selected areas of operations (services to banks, services for corporate clients and individuals, banking activities with securities) and by combining several similar segments of the same type into a separate reporting segment. Similar recognized segments that have similar profit values ​​over several reporting periods and are consistent with most of the criteria for determining the operating segment.</w:t>
      </w:r>
    </w:p>
    <w:p w:rsidR="00A66D54" w:rsidRPr="00BA5143" w:rsidRDefault="00A66D54" w:rsidP="00A66D54">
      <w:pPr>
        <w:ind w:firstLine="708"/>
        <w:jc w:val="both"/>
        <w:rPr>
          <w:lang w:val="en-US"/>
        </w:rPr>
      </w:pPr>
      <w:r w:rsidRPr="00BA5143">
        <w:rPr>
          <w:lang w:val="en-US"/>
        </w:rPr>
        <w:lastRenderedPageBreak/>
        <w:t>Income from the reporting segment is the income directly attributable to the segment, and the corresponding portion of the Bank's income that can be attributed to the segment from external activity.</w:t>
      </w:r>
    </w:p>
    <w:p w:rsidR="00A66D54" w:rsidRPr="00BA5143" w:rsidRDefault="00A66D54" w:rsidP="00A66D54">
      <w:pPr>
        <w:ind w:firstLine="708"/>
        <w:jc w:val="both"/>
        <w:rPr>
          <w:lang w:val="en-US"/>
        </w:rPr>
      </w:pPr>
      <w:r w:rsidRPr="00BA5143">
        <w:rPr>
          <w:lang w:val="en-US"/>
        </w:rPr>
        <w:t>The expenses of the reporting segment are expenses related to the core activities of the segment that are directly attributable to it and the corresponding portion of the expenses that can be reasonably attributed to the segment, including the costs of external activities. Segment costs do not include the cost of paying a profit tax.</w:t>
      </w:r>
    </w:p>
    <w:p w:rsidR="00725F29" w:rsidRPr="00BA5143" w:rsidRDefault="00A66D54" w:rsidP="00A66D54">
      <w:pPr>
        <w:ind w:firstLine="708"/>
        <w:jc w:val="both"/>
        <w:rPr>
          <w:lang w:val="en-US"/>
        </w:rPr>
      </w:pPr>
      <w:r w:rsidRPr="00BA5143">
        <w:rPr>
          <w:lang w:val="en-US"/>
        </w:rPr>
        <w:t>Assets in the reporting segment are assets that are used to perform normal business and are directly related to this segment. Segment assets do not include income tax assets. Segment assets are recognized after deducting the respective provisions that govern the valuation of an item in the Bank's balance sheet</w:t>
      </w:r>
      <w:r w:rsidR="00725F29" w:rsidRPr="00BA5143">
        <w:rPr>
          <w:lang w:val="en-US"/>
        </w:rPr>
        <w:t>.</w:t>
      </w:r>
    </w:p>
    <w:p w:rsidR="00A66D54" w:rsidRPr="00BA5143" w:rsidRDefault="00A66D54" w:rsidP="00A66D54">
      <w:pPr>
        <w:ind w:firstLine="708"/>
        <w:jc w:val="both"/>
        <w:rPr>
          <w:lang w:val="en-US"/>
        </w:rPr>
      </w:pPr>
      <w:r w:rsidRPr="00BA5143">
        <w:rPr>
          <w:lang w:val="en-US"/>
        </w:rPr>
        <w:t>A segment liability is a liability that arises from the normal activities of a segment and is directly related to a segment, or can be attributed to a segment by proportional distribution. If the segment result includes interest expense, then the segment liabilities include related liabilities, for which interest is charged. Segment liabilities do not include liability for tax on profits.</w:t>
      </w:r>
    </w:p>
    <w:p w:rsidR="00A66D54" w:rsidRPr="00BA5143" w:rsidRDefault="00A66D54" w:rsidP="00A66D54">
      <w:pPr>
        <w:ind w:firstLine="708"/>
        <w:jc w:val="both"/>
        <w:rPr>
          <w:lang w:val="en-US"/>
        </w:rPr>
      </w:pPr>
      <w:r w:rsidRPr="00BA5143">
        <w:rPr>
          <w:lang w:val="en-US"/>
        </w:rPr>
        <w:t>The main criterion by which the Bank determines the reporting operating segments is the homogeneity inherent in the segment of risks, profitability, target groups and the technological process.</w:t>
      </w:r>
    </w:p>
    <w:p w:rsidR="00A66D54" w:rsidRPr="00BA5143" w:rsidRDefault="00A66D54" w:rsidP="00A66D54">
      <w:pPr>
        <w:ind w:firstLine="708"/>
        <w:jc w:val="both"/>
        <w:rPr>
          <w:lang w:val="en-US"/>
        </w:rPr>
      </w:pPr>
      <w:r w:rsidRPr="00BA5143">
        <w:rPr>
          <w:lang w:val="en-US"/>
        </w:rPr>
        <w:t>JSC "Ukrainian Bank for Reconstruction and Development" operates in the following operating segments:</w:t>
      </w:r>
    </w:p>
    <w:p w:rsidR="00A66D54" w:rsidRPr="00BA5143" w:rsidRDefault="00A66D54" w:rsidP="00A66D54">
      <w:pPr>
        <w:numPr>
          <w:ilvl w:val="0"/>
          <w:numId w:val="14"/>
        </w:numPr>
        <w:autoSpaceDE w:val="0"/>
        <w:autoSpaceDN w:val="0"/>
        <w:adjustRightInd w:val="0"/>
        <w:jc w:val="both"/>
        <w:rPr>
          <w:lang w:val="en-US"/>
        </w:rPr>
      </w:pPr>
      <w:r w:rsidRPr="00BA5143">
        <w:rPr>
          <w:b/>
          <w:bCs/>
          <w:i/>
          <w:iCs/>
          <w:lang w:val="en-US"/>
        </w:rPr>
        <w:t>Banking services</w:t>
      </w:r>
      <w:r w:rsidRPr="00BA5143">
        <w:rPr>
          <w:lang w:val="en-US"/>
        </w:rPr>
        <w:t xml:space="preserve"> - opening of correspondent accounts in other banks, placement (raising) of funds, sale and purchase transactions of non-cash foreign currency in the interbank foreign exchange market of Ukraine, transactions for the sale and purchase of cash national currency, etc.</w:t>
      </w:r>
    </w:p>
    <w:p w:rsidR="00A66D54" w:rsidRPr="00BA5143" w:rsidRDefault="00A66D54" w:rsidP="00A66D54">
      <w:pPr>
        <w:numPr>
          <w:ilvl w:val="0"/>
          <w:numId w:val="14"/>
        </w:numPr>
        <w:autoSpaceDE w:val="0"/>
        <w:autoSpaceDN w:val="0"/>
        <w:adjustRightInd w:val="0"/>
        <w:jc w:val="both"/>
        <w:rPr>
          <w:lang w:val="en-US"/>
        </w:rPr>
      </w:pPr>
      <w:r w:rsidRPr="00BA5143">
        <w:rPr>
          <w:b/>
          <w:bCs/>
          <w:i/>
          <w:iCs/>
          <w:lang w:val="en-US"/>
        </w:rPr>
        <w:t>Services for clients (legal entities and individuals)</w:t>
      </w:r>
      <w:r w:rsidRPr="00BA5143">
        <w:rPr>
          <w:lang w:val="en-US"/>
        </w:rPr>
        <w:t xml:space="preserve"> - settlement and cash transactions on current accounts of legal entities and individuals, taking deposits (deposits), providing overdraft, loans and other lending services, conducting operations with non-cash foreign currency on behalf of clients, etc.</w:t>
      </w:r>
    </w:p>
    <w:p w:rsidR="00A66D54" w:rsidRPr="00BA5143" w:rsidRDefault="00A66D54" w:rsidP="00A66D54">
      <w:pPr>
        <w:numPr>
          <w:ilvl w:val="0"/>
          <w:numId w:val="14"/>
        </w:numPr>
        <w:autoSpaceDE w:val="0"/>
        <w:autoSpaceDN w:val="0"/>
        <w:adjustRightInd w:val="0"/>
        <w:jc w:val="both"/>
        <w:rPr>
          <w:lang w:val="en-US"/>
        </w:rPr>
      </w:pPr>
      <w:r w:rsidRPr="00BA5143">
        <w:rPr>
          <w:b/>
          <w:bCs/>
          <w:i/>
          <w:iCs/>
          <w:lang w:val="en-US"/>
        </w:rPr>
        <w:t>Securities Transactions</w:t>
      </w:r>
      <w:r w:rsidRPr="00BA5143">
        <w:rPr>
          <w:lang w:val="en-US"/>
        </w:rPr>
        <w:t xml:space="preserve"> - </w:t>
      </w:r>
      <w:r w:rsidR="00726A90" w:rsidRPr="00BA5143">
        <w:rPr>
          <w:lang w:val="en-US"/>
        </w:rPr>
        <w:t>t</w:t>
      </w:r>
      <w:r w:rsidRPr="00BA5143">
        <w:rPr>
          <w:lang w:val="en-US"/>
        </w:rPr>
        <w:t>reasury securities purchase and sale operations (domestic government loan and deposit certificates), depositary services, services on own securities, etc.</w:t>
      </w:r>
    </w:p>
    <w:p w:rsidR="00A66D54" w:rsidRPr="00BA5143" w:rsidRDefault="00A66D54" w:rsidP="00A66D54">
      <w:pPr>
        <w:numPr>
          <w:ilvl w:val="0"/>
          <w:numId w:val="14"/>
        </w:numPr>
        <w:autoSpaceDE w:val="0"/>
        <w:autoSpaceDN w:val="0"/>
        <w:adjustRightInd w:val="0"/>
        <w:jc w:val="both"/>
        <w:rPr>
          <w:b/>
          <w:bCs/>
          <w:i/>
          <w:iCs/>
          <w:lang w:val="en-US"/>
        </w:rPr>
      </w:pPr>
      <w:r w:rsidRPr="00BA5143">
        <w:rPr>
          <w:b/>
          <w:bCs/>
          <w:i/>
          <w:iCs/>
          <w:lang w:val="en-US"/>
        </w:rPr>
        <w:t>Other segments and operations.</w:t>
      </w:r>
    </w:p>
    <w:p w:rsidR="00726A90" w:rsidRPr="00BA5143" w:rsidRDefault="00726A90" w:rsidP="00725F29">
      <w:pPr>
        <w:ind w:firstLine="708"/>
        <w:jc w:val="both"/>
        <w:rPr>
          <w:lang w:val="en-US"/>
        </w:rPr>
      </w:pPr>
      <w:r w:rsidRPr="00BA5143">
        <w:rPr>
          <w:lang w:val="en-US"/>
        </w:rPr>
        <w:t>In addition, the allocation of indirect costs to use the method in which the expenses related to the reporting segments in proportions equal installments each reporting segment in the total result of all reportable segments after direct attribution of income and expenses.</w:t>
      </w:r>
    </w:p>
    <w:p w:rsidR="00726A90" w:rsidRPr="00BA5143" w:rsidRDefault="00726A90" w:rsidP="00726A90">
      <w:pPr>
        <w:ind w:firstLine="709"/>
        <w:rPr>
          <w:lang w:val="en-US"/>
        </w:rPr>
      </w:pPr>
      <w:r w:rsidRPr="00BA5143">
        <w:rPr>
          <w:lang w:val="en-US"/>
        </w:rPr>
        <w:t>During the reporting period 2018, segregation, segregation, accounting policy changes were not carried out.</w:t>
      </w:r>
    </w:p>
    <w:p w:rsidR="00726A90" w:rsidRPr="00BA5143" w:rsidRDefault="00726A90" w:rsidP="00726A90">
      <w:pPr>
        <w:ind w:firstLine="709"/>
        <w:rPr>
          <w:lang w:val="en-US"/>
        </w:rPr>
      </w:pPr>
      <w:r w:rsidRPr="00BA5143">
        <w:rPr>
          <w:lang w:val="en-US"/>
        </w:rPr>
        <w:t>Intersegment operations are carried out on a royalty-free basis.</w:t>
      </w:r>
    </w:p>
    <w:p w:rsidR="00726A90" w:rsidRPr="00BA5143" w:rsidRDefault="00726A90" w:rsidP="00726A90">
      <w:pPr>
        <w:ind w:firstLine="709"/>
        <w:rPr>
          <w:lang w:val="en-US"/>
        </w:rPr>
      </w:pPr>
      <w:r w:rsidRPr="00BA5143">
        <w:rPr>
          <w:lang w:val="en-US"/>
        </w:rPr>
        <w:t>The Bank does not have clients whose income exceeds 10% of the total amount of external income.</w:t>
      </w:r>
    </w:p>
    <w:p w:rsidR="00D82BCE" w:rsidRPr="00BA5143" w:rsidRDefault="00726A90" w:rsidP="00726A90">
      <w:pPr>
        <w:ind w:firstLine="709"/>
        <w:rPr>
          <w:lang w:val="en-US"/>
        </w:rPr>
      </w:pPr>
      <w:r w:rsidRPr="00BA5143">
        <w:rPr>
          <w:lang w:val="en-US"/>
        </w:rPr>
        <w:t>Detailed information for operating segments is presented in note 26.</w:t>
      </w:r>
    </w:p>
    <w:p w:rsidR="00726A90" w:rsidRPr="00BA5143" w:rsidRDefault="00726A90" w:rsidP="00726A90">
      <w:pPr>
        <w:rPr>
          <w:bCs/>
          <w:iCs/>
          <w:highlight w:val="yellow"/>
          <w:lang w:val="en-US"/>
        </w:rPr>
      </w:pPr>
    </w:p>
    <w:p w:rsidR="00726A90" w:rsidRPr="00BA5143" w:rsidRDefault="00726A90" w:rsidP="00726A90">
      <w:pPr>
        <w:spacing w:line="240" w:lineRule="exact"/>
        <w:jc w:val="both"/>
        <w:rPr>
          <w:b/>
          <w:iCs/>
          <w:lang w:val="en-US"/>
        </w:rPr>
      </w:pPr>
      <w:r w:rsidRPr="00BA5143">
        <w:rPr>
          <w:b/>
          <w:iCs/>
          <w:lang w:val="en-US"/>
        </w:rPr>
        <w:t>4.37. Related Party Transactions</w:t>
      </w:r>
    </w:p>
    <w:p w:rsidR="00726A90" w:rsidRPr="00BA5143" w:rsidRDefault="00726A90" w:rsidP="00726A90">
      <w:pPr>
        <w:spacing w:line="240" w:lineRule="exact"/>
        <w:jc w:val="both"/>
        <w:rPr>
          <w:b/>
          <w:i/>
          <w:lang w:val="en-US"/>
        </w:rPr>
      </w:pPr>
    </w:p>
    <w:p w:rsidR="00726A90" w:rsidRPr="00BA5143" w:rsidRDefault="00726A90" w:rsidP="00726A90">
      <w:pPr>
        <w:spacing w:line="240" w:lineRule="exact"/>
        <w:ind w:firstLine="709"/>
        <w:jc w:val="both"/>
        <w:rPr>
          <w:bCs/>
          <w:iCs/>
          <w:lang w:val="en-US"/>
        </w:rPr>
      </w:pPr>
      <w:r w:rsidRPr="00BA5143">
        <w:rPr>
          <w:bCs/>
          <w:iCs/>
          <w:lang w:val="en-US"/>
        </w:rPr>
        <w:t>In the course of its ordinary activities, the Bank carries out operations with various counterparties. Parties are considered to be related if one party has the ability to control the other party or has a significant influence on the other party when making managerial decisions.</w:t>
      </w:r>
    </w:p>
    <w:p w:rsidR="00726A90" w:rsidRPr="00BA5143" w:rsidRDefault="00726A90" w:rsidP="00726A90">
      <w:pPr>
        <w:spacing w:line="240" w:lineRule="exact"/>
        <w:ind w:firstLine="709"/>
        <w:jc w:val="both"/>
        <w:rPr>
          <w:bCs/>
          <w:iCs/>
          <w:lang w:val="en-US"/>
        </w:rPr>
      </w:pPr>
      <w:r w:rsidRPr="00BA5143">
        <w:rPr>
          <w:bCs/>
          <w:iCs/>
          <w:lang w:val="en-US"/>
        </w:rPr>
        <w:t xml:space="preserve">As of </w:t>
      </w:r>
      <w:r w:rsidR="00201937" w:rsidRPr="00BA5143">
        <w:rPr>
          <w:bCs/>
          <w:iCs/>
          <w:lang w:val="en-US"/>
        </w:rPr>
        <w:t>December 31, 2018,</w:t>
      </w:r>
      <w:r w:rsidRPr="00BA5143">
        <w:rPr>
          <w:bCs/>
          <w:iCs/>
          <w:lang w:val="en-US"/>
        </w:rPr>
        <w:t xml:space="preserve"> and December 31, 2017, the sole shareholder of the bank, which owns 100% of the authorized capital of the Bank, was the </w:t>
      </w:r>
      <w:r w:rsidR="00101CE7" w:rsidRPr="00BA5143">
        <w:rPr>
          <w:bCs/>
          <w:iCs/>
          <w:lang w:val="en-US"/>
        </w:rPr>
        <w:t>“</w:t>
      </w:r>
      <w:r w:rsidRPr="00BA5143">
        <w:rPr>
          <w:bCs/>
          <w:iCs/>
          <w:lang w:val="en-US"/>
        </w:rPr>
        <w:t>BOSE (HONGKONG) KO., LIMITED</w:t>
      </w:r>
      <w:r w:rsidR="00101CE7" w:rsidRPr="00BA5143">
        <w:rPr>
          <w:bCs/>
          <w:iCs/>
          <w:lang w:val="en-US"/>
        </w:rPr>
        <w:t xml:space="preserve">” </w:t>
      </w:r>
      <w:r w:rsidRPr="00BA5143">
        <w:rPr>
          <w:bCs/>
          <w:iCs/>
          <w:lang w:val="en-US"/>
        </w:rPr>
        <w:t>(Ukraine).</w:t>
      </w:r>
    </w:p>
    <w:p w:rsidR="001F214C" w:rsidRPr="00BA5143" w:rsidRDefault="00726A90" w:rsidP="00726A90">
      <w:pPr>
        <w:spacing w:line="240" w:lineRule="exact"/>
        <w:ind w:firstLine="709"/>
        <w:jc w:val="both"/>
        <w:rPr>
          <w:bCs/>
          <w:iCs/>
          <w:lang w:val="en-US"/>
        </w:rPr>
      </w:pPr>
      <w:r w:rsidRPr="00BA5143">
        <w:rPr>
          <w:bCs/>
          <w:iCs/>
          <w:lang w:val="en-US"/>
        </w:rPr>
        <w:t>Detailed information on transactions with related parties is provided in Note 32.</w:t>
      </w:r>
    </w:p>
    <w:p w:rsidR="00726A90" w:rsidRPr="00BA5143" w:rsidRDefault="00726A90" w:rsidP="00726A90">
      <w:pPr>
        <w:spacing w:line="240" w:lineRule="exact"/>
        <w:jc w:val="both"/>
        <w:rPr>
          <w:b/>
          <w:highlight w:val="yellow"/>
          <w:lang w:val="en-US"/>
        </w:rPr>
      </w:pPr>
    </w:p>
    <w:p w:rsidR="00101CE7" w:rsidRPr="00BA5143" w:rsidRDefault="00101CE7" w:rsidP="00C13E4C">
      <w:pPr>
        <w:autoSpaceDE w:val="0"/>
        <w:autoSpaceDN w:val="0"/>
        <w:adjustRightInd w:val="0"/>
        <w:spacing w:after="120" w:line="240" w:lineRule="exact"/>
        <w:ind w:firstLine="540"/>
        <w:jc w:val="both"/>
        <w:rPr>
          <w:b/>
          <w:iCs/>
          <w:lang w:val="en-US"/>
        </w:rPr>
      </w:pPr>
      <w:r w:rsidRPr="00BA5143">
        <w:rPr>
          <w:b/>
          <w:iCs/>
          <w:lang w:val="en-US"/>
        </w:rPr>
        <w:lastRenderedPageBreak/>
        <w:t>4.38. Significant accounting judgments and estimates, their impact on the recognition of assets and liabilities</w:t>
      </w:r>
    </w:p>
    <w:p w:rsidR="00101CE7" w:rsidRPr="00BA5143" w:rsidRDefault="00101CE7" w:rsidP="00101CE7">
      <w:pPr>
        <w:autoSpaceDE w:val="0"/>
        <w:autoSpaceDN w:val="0"/>
        <w:adjustRightInd w:val="0"/>
        <w:spacing w:after="120" w:line="240" w:lineRule="exact"/>
        <w:ind w:firstLine="540"/>
        <w:jc w:val="both"/>
        <w:rPr>
          <w:b/>
          <w:i/>
          <w:lang w:val="en-US"/>
        </w:rPr>
      </w:pPr>
      <w:r w:rsidRPr="00BA5143">
        <w:rPr>
          <w:b/>
          <w:iCs/>
          <w:lang w:val="en-US"/>
        </w:rPr>
        <w:t>Uncertainty estimates.</w:t>
      </w:r>
      <w:r w:rsidRPr="00BA5143">
        <w:rPr>
          <w:bCs/>
          <w:iCs/>
          <w:lang w:val="en-US"/>
        </w:rPr>
        <w:t xml:space="preserve"> In the process of applying accounting policies, the management of the Bank used its own judgments and evaluated the amounts disclosed in the financial statements using the main principles of IFRS. In case of impossibility of applying any standard or interpretation in a specific agreement, the management of the Bank applied professional judgments which enabled the Bank to provide up-to-date and reliable information. When using judgments, the Bank was guided by the requirements of paragraphs 10 and 11 of IFRS 8 "Accounting policies, changes in accounting estimates and errors", requirements of other standards or interpretations related to similar or related issues. The most significant use of judgments and evaluations includes the following</w:t>
      </w:r>
      <w:r w:rsidRPr="00BA5143">
        <w:rPr>
          <w:b/>
          <w:i/>
          <w:lang w:val="en-US"/>
        </w:rPr>
        <w:t>:</w:t>
      </w:r>
    </w:p>
    <w:p w:rsidR="00F9031D" w:rsidRPr="00BA5143" w:rsidRDefault="00F9031D" w:rsidP="00F9031D">
      <w:pPr>
        <w:autoSpaceDE w:val="0"/>
        <w:autoSpaceDN w:val="0"/>
        <w:adjustRightInd w:val="0"/>
        <w:spacing w:after="120" w:line="240" w:lineRule="exact"/>
        <w:ind w:firstLine="540"/>
        <w:jc w:val="both"/>
        <w:rPr>
          <w:lang w:val="en-US" w:eastAsia="en-US"/>
        </w:rPr>
      </w:pPr>
      <w:r w:rsidRPr="00BA5143">
        <w:rPr>
          <w:b/>
          <w:bCs/>
          <w:lang w:val="en-US" w:eastAsia="en-US"/>
        </w:rPr>
        <w:t xml:space="preserve">Fair value of financial instruments. </w:t>
      </w:r>
      <w:r w:rsidRPr="00BA5143">
        <w:rPr>
          <w:lang w:val="en-US" w:eastAsia="en-US"/>
        </w:rPr>
        <w:t xml:space="preserve">If the fair value of financial assets and liabilities reflected in the Statement of Financial Position </w:t>
      </w:r>
      <w:r w:rsidR="00201937" w:rsidRPr="00BA5143">
        <w:rPr>
          <w:lang w:val="en-US" w:eastAsia="en-US"/>
        </w:rPr>
        <w:t>cannot</w:t>
      </w:r>
      <w:r w:rsidRPr="00BA5143">
        <w:rPr>
          <w:lang w:val="en-US" w:eastAsia="en-US"/>
        </w:rPr>
        <w:t xml:space="preserve"> be determined on the basis of prices in an active market, it is recognized using a variety of valuation techniques including the use of mathematical models. Output data for these models is determined on the basis of a valuation model that uses observational data, wherever possible, but when this is not possible, certain judgments are required when determining fair value.</w:t>
      </w:r>
    </w:p>
    <w:p w:rsidR="007A0DDA" w:rsidRPr="00BA5143" w:rsidRDefault="00F9031D" w:rsidP="00F9031D">
      <w:pPr>
        <w:autoSpaceDE w:val="0"/>
        <w:autoSpaceDN w:val="0"/>
        <w:adjustRightInd w:val="0"/>
        <w:spacing w:after="120" w:line="240" w:lineRule="exact"/>
        <w:ind w:firstLine="540"/>
        <w:jc w:val="both"/>
        <w:rPr>
          <w:bCs/>
          <w:lang w:val="en-US" w:eastAsia="en-US"/>
        </w:rPr>
      </w:pPr>
      <w:r w:rsidRPr="00BA5143">
        <w:rPr>
          <w:b/>
          <w:bCs/>
          <w:lang w:val="en-US" w:eastAsia="en-US"/>
        </w:rPr>
        <w:t xml:space="preserve">Taxation. </w:t>
      </w:r>
      <w:r w:rsidRPr="00BA5143">
        <w:rPr>
          <w:lang w:val="en-US" w:eastAsia="en-US"/>
        </w:rPr>
        <w:t>The management believes that the Bank has complied with all the provisions of the current tax law. However, there is no certainty that the tax authorities do not interpret the compliance of the Bank with the provisions of the applicable tax law in another way, and that as a result of the Bank, fines and penalties will not be charged. Management estimates the amount of potential taxes and fines by assessing the probability of paying such taxes and fines and applying current tax laws. The actual payment of additional taxes accrued depends on the ability of the tax authorities to question the existing provisions and interpretation of the applicable tax legislation, as well as changes to the tax legislation. If interpretations of tax authorities are different from the interpretations of the Bank's management, the Bank may be charged additional taxes and fines.</w:t>
      </w:r>
      <w:r w:rsidR="007A0DDA" w:rsidRPr="00BA5143">
        <w:rPr>
          <w:bCs/>
          <w:lang w:val="en-US" w:eastAsia="en-US"/>
        </w:rPr>
        <w:t xml:space="preserve">   </w:t>
      </w:r>
    </w:p>
    <w:p w:rsidR="00F9031D" w:rsidRPr="00BA5143" w:rsidRDefault="00F9031D" w:rsidP="00F9031D">
      <w:pPr>
        <w:ind w:firstLine="540"/>
        <w:jc w:val="both"/>
        <w:rPr>
          <w:b/>
          <w:bCs/>
          <w:lang w:val="en-US" w:eastAsia="en-US"/>
        </w:rPr>
      </w:pPr>
      <w:r w:rsidRPr="00BA5143">
        <w:rPr>
          <w:b/>
          <w:bCs/>
          <w:lang w:val="en-US" w:eastAsia="en-US"/>
        </w:rPr>
        <w:t xml:space="preserve">Initial recognition of transactions with economic entities related to authorities. </w:t>
      </w:r>
      <w:r w:rsidRPr="00BA5143">
        <w:rPr>
          <w:lang w:val="en-US" w:eastAsia="en-US"/>
        </w:rPr>
        <w:t>In the course of its activities, the Bank conducted operations with business entities connected with the authorities. In accordance with IFRS 9, "Financial Instruments", financial instruments are initially measured at fair value. In the absence of an active market for such transactions, in order to determine whether transactions were carried out at market or non-market interest rates, the Bank's management used professional judgments. The reasons for the judgments were pricing for similar types of operations with unrelated parties, an analysis of the effective interest rate, open information on possible market rates.</w:t>
      </w:r>
    </w:p>
    <w:p w:rsidR="00C82453" w:rsidRPr="00BA5143" w:rsidRDefault="00F9031D" w:rsidP="00F9031D">
      <w:pPr>
        <w:ind w:firstLine="540"/>
        <w:jc w:val="both"/>
        <w:rPr>
          <w:b/>
          <w:bCs/>
          <w:lang w:val="en-US" w:eastAsia="en-US"/>
        </w:rPr>
      </w:pPr>
      <w:r w:rsidRPr="00BA5143">
        <w:rPr>
          <w:b/>
          <w:bCs/>
          <w:lang w:val="en-US" w:eastAsia="en-US"/>
        </w:rPr>
        <w:t xml:space="preserve">The principle of a continuous organization. </w:t>
      </w:r>
      <w:r w:rsidRPr="00BA5143">
        <w:rPr>
          <w:lang w:val="en-US" w:eastAsia="en-US"/>
        </w:rPr>
        <w:t>These financial statements are prepared on the basis of the principle of a permanent organization. Using this judgment, the Bank took into account the existing intentions, the profitability of operations, the available financial resources and the impact of the current economic situation on the Bank's activities.</w:t>
      </w:r>
    </w:p>
    <w:p w:rsidR="00F9031D" w:rsidRPr="00BA5143" w:rsidRDefault="00F9031D" w:rsidP="00F9031D">
      <w:pPr>
        <w:ind w:firstLine="540"/>
        <w:jc w:val="both"/>
        <w:rPr>
          <w:lang w:val="en-US"/>
        </w:rPr>
      </w:pPr>
    </w:p>
    <w:p w:rsidR="006330E4" w:rsidRPr="00BA5143" w:rsidRDefault="00F9031D" w:rsidP="00AE3CE7">
      <w:pPr>
        <w:ind w:firstLine="540"/>
        <w:jc w:val="both"/>
        <w:rPr>
          <w:b/>
          <w:iCs/>
          <w:lang w:val="en-US"/>
        </w:rPr>
      </w:pPr>
      <w:r w:rsidRPr="00BA5143">
        <w:rPr>
          <w:b/>
          <w:iCs/>
          <w:lang w:val="en-US"/>
        </w:rPr>
        <w:t>4.39. Changes in accounting policies, accounting estimates, corrections of material errors and presentation of their financial statements</w:t>
      </w:r>
    </w:p>
    <w:p w:rsidR="00F9031D" w:rsidRPr="00BA5143" w:rsidRDefault="00F9031D" w:rsidP="00AE3CE7">
      <w:pPr>
        <w:ind w:firstLine="540"/>
        <w:jc w:val="both"/>
        <w:rPr>
          <w:lang w:val="en-US"/>
        </w:rPr>
      </w:pPr>
    </w:p>
    <w:p w:rsidR="00CB216E" w:rsidRPr="00BA5143" w:rsidRDefault="00CB216E" w:rsidP="00CB216E">
      <w:pPr>
        <w:pStyle w:val="afc"/>
        <w:ind w:left="0" w:firstLine="567"/>
        <w:jc w:val="both"/>
        <w:rPr>
          <w:lang w:val="en-US"/>
        </w:rPr>
      </w:pPr>
      <w:r w:rsidRPr="00BA5143">
        <w:rPr>
          <w:lang w:val="en-US"/>
        </w:rPr>
        <w:t>In preparing the annual financial statements, the accounting principles are consistent with the principles used in the preparation of the annual financial statements for the year ended December 31, 2017, except for the new and revised standards and interpretations that have to be applied by the Bank from January 1, 2018.</w:t>
      </w:r>
    </w:p>
    <w:p w:rsidR="00CB216E" w:rsidRPr="00BA5143" w:rsidRDefault="00CB216E" w:rsidP="00CB216E">
      <w:pPr>
        <w:pStyle w:val="afc"/>
        <w:ind w:left="0" w:firstLine="567"/>
        <w:jc w:val="both"/>
        <w:rPr>
          <w:lang w:val="en-US"/>
        </w:rPr>
      </w:pPr>
      <w:r w:rsidRPr="00BA5143">
        <w:rPr>
          <w:lang w:val="en-US"/>
        </w:rPr>
        <w:t>In the reporting year 2018, the Bank made the following changes to the Accounting Policy:</w:t>
      </w:r>
    </w:p>
    <w:p w:rsidR="00CB216E" w:rsidRPr="00BA5143" w:rsidRDefault="00CB216E" w:rsidP="00CB216E">
      <w:pPr>
        <w:pStyle w:val="afc"/>
        <w:ind w:left="0" w:firstLine="567"/>
        <w:jc w:val="both"/>
        <w:rPr>
          <w:lang w:val="en-US"/>
        </w:rPr>
      </w:pPr>
      <w:r w:rsidRPr="00BA5143">
        <w:rPr>
          <w:lang w:val="en-US"/>
        </w:rPr>
        <w:t>- in respect of its alignment with IFRS 9 “Financial Instruments”, effective for annual periods beginning on or after January 1, 2018.</w:t>
      </w:r>
    </w:p>
    <w:p w:rsidR="00CB216E" w:rsidRPr="00BA5143" w:rsidRDefault="00CB216E" w:rsidP="00CB216E">
      <w:pPr>
        <w:pStyle w:val="afc"/>
        <w:ind w:left="0" w:firstLine="567"/>
        <w:jc w:val="both"/>
        <w:rPr>
          <w:lang w:val="en-US"/>
        </w:rPr>
      </w:pPr>
      <w:r w:rsidRPr="00BA5143">
        <w:rPr>
          <w:lang w:val="en-US"/>
        </w:rPr>
        <w:t xml:space="preserve">The Bank applies this standard retrospectively without recalculation for prior periods. During the classification, business models were determined according to the new standard for financial assets, recognition of which was not discontinued as of 01.01.2018. At the same time, </w:t>
      </w:r>
      <w:r w:rsidRPr="00BA5143">
        <w:rPr>
          <w:lang w:val="en-US"/>
        </w:rPr>
        <w:lastRenderedPageBreak/>
        <w:t>SPPI-tests and the calculation of an effective interest rate on such assets were conducted on the date of their initial recognition.</w:t>
      </w:r>
    </w:p>
    <w:p w:rsidR="00CB216E" w:rsidRPr="00BA5143" w:rsidRDefault="00CB216E" w:rsidP="00CB216E">
      <w:pPr>
        <w:pStyle w:val="afc"/>
        <w:ind w:left="0" w:firstLine="567"/>
        <w:jc w:val="both"/>
        <w:rPr>
          <w:lang w:val="en-US"/>
        </w:rPr>
      </w:pPr>
      <w:r w:rsidRPr="00BA5143">
        <w:rPr>
          <w:lang w:val="en-US"/>
        </w:rPr>
        <w:t>Financial assets that have been outstanding as of 01.01.2018 are mainly represented by investments in securities in the form of deposit certificates of the National Bank of Ukraine and bonds of domestic state loans in the national currency of Ukraine. On the basis of the classification, all financial assets are classified by the Bank as a business model of management of financial assets, the purpose of which is to obtain contractual cash flows, followed by their accounting at amortized cost. Such a classification did not lead to changes in the Profit and Loss Statement, taking into account that these assets are risk-free for the Bank.</w:t>
      </w:r>
    </w:p>
    <w:p w:rsidR="00CB216E" w:rsidRPr="00BA5143" w:rsidRDefault="00CB216E" w:rsidP="00CB216E">
      <w:pPr>
        <w:pStyle w:val="afc"/>
        <w:ind w:left="0" w:firstLine="567"/>
        <w:jc w:val="both"/>
        <w:rPr>
          <w:lang w:val="en-US"/>
        </w:rPr>
      </w:pPr>
      <w:r w:rsidRPr="00BA5143">
        <w:rPr>
          <w:lang w:val="en-US"/>
        </w:rPr>
        <w:t>There was no change in the classification and further assessment of the Bank's financial liabilities.</w:t>
      </w:r>
    </w:p>
    <w:p w:rsidR="00CB216E" w:rsidRPr="00BA5143" w:rsidRDefault="00CB216E" w:rsidP="00CB216E">
      <w:pPr>
        <w:autoSpaceDE w:val="0"/>
        <w:autoSpaceDN w:val="0"/>
        <w:adjustRightInd w:val="0"/>
        <w:ind w:firstLine="567"/>
        <w:jc w:val="both"/>
        <w:rPr>
          <w:lang w:val="en-US"/>
        </w:rPr>
      </w:pPr>
      <w:r w:rsidRPr="00BA5143">
        <w:rPr>
          <w:lang w:val="en-US"/>
        </w:rPr>
        <w:t>- in part to bring it into line with requirements of IFRS 15 "Revenue from contracts with customers", which entered into force for annual periods beginning on January 1, 2018.</w:t>
      </w:r>
    </w:p>
    <w:p w:rsidR="00CB216E" w:rsidRPr="00BA5143" w:rsidRDefault="00CB216E" w:rsidP="00CB216E">
      <w:pPr>
        <w:autoSpaceDE w:val="0"/>
        <w:autoSpaceDN w:val="0"/>
        <w:adjustRightInd w:val="0"/>
        <w:ind w:firstLine="567"/>
        <w:jc w:val="both"/>
        <w:rPr>
          <w:lang w:val="en-US"/>
        </w:rPr>
      </w:pPr>
      <w:r w:rsidRPr="00BA5143">
        <w:rPr>
          <w:lang w:val="en-US"/>
        </w:rPr>
        <w:t>The bank applies this standard retrospectively with the cumulative effect of initial recognition of the application. As of 01.01.2018, contracts that fall within the scope of the standard and were incomplete on the date of initial application were absent.</w:t>
      </w:r>
    </w:p>
    <w:p w:rsidR="00CB216E" w:rsidRPr="00BA5143" w:rsidRDefault="00CB216E" w:rsidP="00CB216E">
      <w:pPr>
        <w:autoSpaceDE w:val="0"/>
        <w:autoSpaceDN w:val="0"/>
        <w:adjustRightInd w:val="0"/>
        <w:ind w:firstLine="567"/>
        <w:jc w:val="both"/>
        <w:rPr>
          <w:lang w:val="en-US"/>
        </w:rPr>
      </w:pPr>
      <w:r w:rsidRPr="00BA5143">
        <w:rPr>
          <w:lang w:val="en-US"/>
        </w:rPr>
        <w:t>The introduction of changes to the Accounting Policy did not have a material impact on the Bank's financial statements.</w:t>
      </w:r>
    </w:p>
    <w:p w:rsidR="00CB216E" w:rsidRPr="00BA5143" w:rsidRDefault="00CB216E" w:rsidP="00CB216E">
      <w:pPr>
        <w:autoSpaceDE w:val="0"/>
        <w:autoSpaceDN w:val="0"/>
        <w:adjustRightInd w:val="0"/>
        <w:ind w:firstLine="567"/>
        <w:jc w:val="both"/>
        <w:rPr>
          <w:lang w:val="en-US"/>
        </w:rPr>
      </w:pPr>
      <w:r w:rsidRPr="00BA5143">
        <w:rPr>
          <w:lang w:val="en-US"/>
        </w:rPr>
        <w:t>During 2018, the Bank did not correct significant errors that had an impact on the financial statements of previous reporting periods.</w:t>
      </w:r>
    </w:p>
    <w:p w:rsidR="006330E4" w:rsidRPr="00BA5143" w:rsidRDefault="00CB216E" w:rsidP="00CB216E">
      <w:pPr>
        <w:autoSpaceDE w:val="0"/>
        <w:autoSpaceDN w:val="0"/>
        <w:adjustRightInd w:val="0"/>
        <w:ind w:firstLine="567"/>
        <w:jc w:val="both"/>
        <w:rPr>
          <w:lang w:val="en-US"/>
        </w:rPr>
      </w:pPr>
      <w:r w:rsidRPr="00BA5143">
        <w:rPr>
          <w:lang w:val="en-US"/>
        </w:rPr>
        <w:t>There was no evidence of re-presentation of comparative information in the financial statements and the fact of the reissue of corrected financial statements.</w:t>
      </w:r>
    </w:p>
    <w:p w:rsidR="00CB216E" w:rsidRPr="00BA5143" w:rsidRDefault="00CB216E" w:rsidP="00CB216E">
      <w:pPr>
        <w:autoSpaceDE w:val="0"/>
        <w:autoSpaceDN w:val="0"/>
        <w:adjustRightInd w:val="0"/>
        <w:ind w:firstLine="567"/>
        <w:jc w:val="both"/>
        <w:rPr>
          <w:rFonts w:cs="Calibri"/>
          <w:highlight w:val="yellow"/>
          <w:lang w:val="en-US"/>
        </w:rPr>
      </w:pPr>
    </w:p>
    <w:p w:rsidR="00CB216E" w:rsidRPr="00BA5143" w:rsidRDefault="00CB216E" w:rsidP="006330E4">
      <w:pPr>
        <w:ind w:firstLine="709"/>
        <w:jc w:val="both"/>
        <w:rPr>
          <w:b/>
          <w:i/>
          <w:lang w:val="en-US"/>
        </w:rPr>
      </w:pPr>
      <w:r w:rsidRPr="00BA5143">
        <w:rPr>
          <w:b/>
          <w:i/>
          <w:lang w:val="en-US"/>
        </w:rPr>
        <w:t>The following revised standards become mandatory for the Bank from 1 January 2018:</w:t>
      </w:r>
    </w:p>
    <w:p w:rsidR="00155BD9" w:rsidRPr="00BA5143" w:rsidRDefault="00155BD9" w:rsidP="00CB216E">
      <w:pPr>
        <w:ind w:firstLine="709"/>
        <w:jc w:val="both"/>
        <w:rPr>
          <w:i/>
          <w:lang w:val="en-US"/>
        </w:rPr>
      </w:pPr>
    </w:p>
    <w:p w:rsidR="00CB216E" w:rsidRPr="00BA5143" w:rsidRDefault="00CB216E" w:rsidP="00CB216E">
      <w:pPr>
        <w:ind w:firstLine="709"/>
        <w:jc w:val="both"/>
        <w:rPr>
          <w:iCs/>
          <w:lang w:val="en-US"/>
        </w:rPr>
      </w:pPr>
      <w:r w:rsidRPr="00BA5143">
        <w:rPr>
          <w:iCs/>
          <w:lang w:val="en-US"/>
        </w:rPr>
        <w:t xml:space="preserve">IFRS 9 </w:t>
      </w:r>
      <w:r w:rsidR="00155BD9" w:rsidRPr="00BA5143">
        <w:rPr>
          <w:iCs/>
          <w:lang w:val="en-US"/>
        </w:rPr>
        <w:t>“</w:t>
      </w:r>
      <w:r w:rsidRPr="00BA5143">
        <w:rPr>
          <w:iCs/>
          <w:lang w:val="en-US"/>
        </w:rPr>
        <w:t>Financial Instruments</w:t>
      </w:r>
      <w:r w:rsidR="00155BD9" w:rsidRPr="00BA5143">
        <w:rPr>
          <w:iCs/>
          <w:lang w:val="en-US"/>
        </w:rPr>
        <w:t>”</w:t>
      </w:r>
      <w:r w:rsidRPr="00BA5143">
        <w:rPr>
          <w:iCs/>
          <w:lang w:val="en-US"/>
        </w:rPr>
        <w:t xml:space="preserve"> (as amended in July 2014, effective for annual periods beginning on or after 1 January 2018). The main distinguishing features of the new standard are as follows:</w:t>
      </w:r>
    </w:p>
    <w:p w:rsidR="00CB216E" w:rsidRPr="00BA5143" w:rsidRDefault="00CB216E" w:rsidP="00CB216E">
      <w:pPr>
        <w:ind w:firstLine="709"/>
        <w:jc w:val="both"/>
        <w:rPr>
          <w:iCs/>
          <w:lang w:val="en-US"/>
        </w:rPr>
      </w:pPr>
      <w:r w:rsidRPr="00BA5143">
        <w:rPr>
          <w:iCs/>
          <w:lang w:val="en-US"/>
        </w:rPr>
        <w:t>Financial assets should be classified in three categories of valuation: measured at amortized cost, measured at fair value through other comprehensive income, and measured at fair value through profit or loss.</w:t>
      </w:r>
    </w:p>
    <w:p w:rsidR="00CB216E" w:rsidRPr="00BA5143" w:rsidRDefault="00CB216E" w:rsidP="00CB216E">
      <w:pPr>
        <w:ind w:firstLine="709"/>
        <w:jc w:val="both"/>
        <w:rPr>
          <w:iCs/>
          <w:lang w:val="en-US"/>
        </w:rPr>
      </w:pPr>
      <w:r w:rsidRPr="00BA5143">
        <w:rPr>
          <w:iCs/>
          <w:lang w:val="en-US"/>
        </w:rPr>
        <w:t>Classification is carried out on the basis of both criteria: business models for managing financial assets and contractual agreements with the characteristics of cash flows for a financial asset.</w:t>
      </w:r>
    </w:p>
    <w:p w:rsidR="00CB216E" w:rsidRPr="00BA5143" w:rsidRDefault="00CB216E" w:rsidP="00CB216E">
      <w:pPr>
        <w:ind w:firstLine="709"/>
        <w:jc w:val="both"/>
        <w:rPr>
          <w:iCs/>
          <w:lang w:val="en-US"/>
        </w:rPr>
      </w:pPr>
      <w:r w:rsidRPr="00BA5143">
        <w:rPr>
          <w:iCs/>
          <w:lang w:val="en-US"/>
        </w:rPr>
        <w:t>A financial asset is carried at amortized cost, provided that both conditions are met: it corresponds to a business model whose purpose is to obtain contractual cash flows, and such contractual cash flows are exclusively the principal amount and the amount of interest on the repayment of the principal amount.</w:t>
      </w:r>
    </w:p>
    <w:p w:rsidR="00CB216E" w:rsidRPr="00BA5143" w:rsidRDefault="00CB216E" w:rsidP="00CB216E">
      <w:pPr>
        <w:ind w:firstLine="709"/>
        <w:jc w:val="both"/>
        <w:rPr>
          <w:iCs/>
          <w:lang w:val="en-US"/>
        </w:rPr>
      </w:pPr>
      <w:r w:rsidRPr="00BA5143">
        <w:rPr>
          <w:iCs/>
          <w:lang w:val="en-US"/>
        </w:rPr>
        <w:t>A financial asset is carried at fair value through profit and loss if both conditions are met: it corresponds to a business model whose purpose is achieved either by obtaining contractual cash flows or through the sale of financial assets, and such contractual cash flows are exclusively amounts the principal debt and the amount of interest on the outstanding principal amount.</w:t>
      </w:r>
    </w:p>
    <w:p w:rsidR="00155BD9" w:rsidRPr="00BA5143" w:rsidRDefault="00155BD9" w:rsidP="00155BD9">
      <w:pPr>
        <w:ind w:firstLine="709"/>
        <w:jc w:val="both"/>
        <w:rPr>
          <w:lang w:val="en-US"/>
        </w:rPr>
      </w:pPr>
      <w:r w:rsidRPr="00BA5143">
        <w:rPr>
          <w:lang w:val="en-US"/>
        </w:rPr>
        <w:t>Financial assets that contain any cash flows other than those that meet the requirement to pay exclusively principal and interest should be measured at fair value through profit or loss (for example, derivatives). Built-in derivatives are not separated from financial assets, but are included in their composition when assessing compliance with the condition of payment of exclusively principal and interest.</w:t>
      </w:r>
    </w:p>
    <w:p w:rsidR="00155BD9" w:rsidRPr="00BA5143" w:rsidRDefault="00155BD9" w:rsidP="00155BD9">
      <w:pPr>
        <w:ind w:firstLine="709"/>
        <w:jc w:val="both"/>
        <w:rPr>
          <w:lang w:val="en-US"/>
        </w:rPr>
      </w:pPr>
      <w:r w:rsidRPr="00BA5143">
        <w:rPr>
          <w:lang w:val="en-US"/>
        </w:rPr>
        <w:t xml:space="preserve">Regarding the classification and measurement of financial liabilities, most of the requirements of IAS 39 and in relation to the classification and measurement of financial liabilities have been transferred to IFRS 9 unchanged. The main difference is the requirement to </w:t>
      </w:r>
      <w:r w:rsidRPr="00BA5143">
        <w:rPr>
          <w:lang w:val="en-US"/>
        </w:rPr>
        <w:lastRenderedPageBreak/>
        <w:t>disclose the effect of changes in own credit risk of financial liabilities classified as at fair value through profit or loss as part of other comprehensive income.</w:t>
      </w:r>
    </w:p>
    <w:p w:rsidR="00155BD9" w:rsidRPr="00BA5143" w:rsidRDefault="00155BD9" w:rsidP="00155BD9">
      <w:pPr>
        <w:ind w:firstLine="709"/>
        <w:jc w:val="both"/>
        <w:rPr>
          <w:lang w:val="en-US"/>
        </w:rPr>
      </w:pPr>
      <w:r w:rsidRPr="00BA5143">
        <w:rPr>
          <w:lang w:val="en-US"/>
        </w:rPr>
        <w:t>IFRS 9 introduces a new model for recognizing impairment losses: the model for expected credit losses.</w:t>
      </w:r>
    </w:p>
    <w:p w:rsidR="00155BD9" w:rsidRPr="00BA5143" w:rsidRDefault="00155BD9" w:rsidP="00155BD9">
      <w:pPr>
        <w:ind w:firstLine="709"/>
        <w:jc w:val="both"/>
        <w:rPr>
          <w:lang w:val="en-US"/>
        </w:rPr>
      </w:pPr>
      <w:r w:rsidRPr="00BA5143">
        <w:rPr>
          <w:lang w:val="en-US"/>
        </w:rPr>
        <w:t>Financial assets that have been outstanding as of 01.01.2018 are mainly represented by investments in securities in the form of deposit certificates of the National Bank of Ukraine and bonds of domestic state loans in the national currency of Ukraine. During the reporting period, the Bank worked with these assets in order to obtain cash from their repayment, there were no cases of sale until the maturity date. Therefore, all assets were attributed by the Bank to a business model of management of financial assets whose purpose is to obtain contractual cash flows, followed by their accounting at amortized cost. Taking into account that these assets are risk-free for the Bank, there were no adjustments to the Profit and Loss Statement.</w:t>
      </w:r>
    </w:p>
    <w:p w:rsidR="00C13E4C" w:rsidRPr="00BA5143" w:rsidRDefault="00155BD9" w:rsidP="00C13E4C">
      <w:pPr>
        <w:ind w:firstLine="709"/>
        <w:jc w:val="both"/>
        <w:rPr>
          <w:lang w:val="en-US"/>
        </w:rPr>
      </w:pPr>
      <w:r w:rsidRPr="00BA5143">
        <w:rPr>
          <w:lang w:val="en-US"/>
        </w:rPr>
        <w:t>The following table shows the reconciliation of the book value of financial assets with previous valuation categories in accordance with IFRS (IAS) 39 with their new assessment categories adopted when transitioning to IFRS 9 as of January 1, 2018:</w:t>
      </w:r>
    </w:p>
    <w:p w:rsidR="006330E4" w:rsidRPr="00BA5143" w:rsidRDefault="006330E4" w:rsidP="006330E4">
      <w:pPr>
        <w:rPr>
          <w:rFonts w:ascii="Tahoma" w:hAnsi="Tahoma" w:cs="Tahoma"/>
          <w:sz w:val="16"/>
          <w:szCs w:val="16"/>
          <w:lang w:val="en-US"/>
        </w:rPr>
      </w:pPr>
    </w:p>
    <w:tbl>
      <w:tblPr>
        <w:tblStyle w:val="af4"/>
        <w:tblW w:w="10635" w:type="dxa"/>
        <w:tblInd w:w="-601" w:type="dxa"/>
        <w:tblLayout w:type="fixed"/>
        <w:tblLook w:val="04A0"/>
      </w:tblPr>
      <w:tblGrid>
        <w:gridCol w:w="994"/>
        <w:gridCol w:w="1418"/>
        <w:gridCol w:w="1277"/>
        <w:gridCol w:w="992"/>
        <w:gridCol w:w="851"/>
        <w:gridCol w:w="850"/>
        <w:gridCol w:w="567"/>
        <w:gridCol w:w="851"/>
        <w:gridCol w:w="709"/>
        <w:gridCol w:w="1134"/>
        <w:gridCol w:w="992"/>
      </w:tblGrid>
      <w:tr w:rsidR="00780254" w:rsidRPr="006C58AD" w:rsidTr="00780254">
        <w:tc>
          <w:tcPr>
            <w:tcW w:w="993" w:type="dxa"/>
            <w:vMerge w:val="restart"/>
            <w:tcBorders>
              <w:top w:val="single" w:sz="4" w:space="0" w:color="auto"/>
              <w:left w:val="single" w:sz="4" w:space="0" w:color="auto"/>
              <w:bottom w:val="single" w:sz="4" w:space="0" w:color="auto"/>
              <w:right w:val="single" w:sz="4" w:space="0" w:color="auto"/>
            </w:tcBorders>
          </w:tcPr>
          <w:p w:rsidR="00780254" w:rsidRPr="00BA5143" w:rsidRDefault="00780254">
            <w:pPr>
              <w:rPr>
                <w:sz w:val="16"/>
                <w:szCs w:val="16"/>
                <w:lang w:val="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16"/>
                <w:szCs w:val="16"/>
                <w:lang w:val="en-US"/>
              </w:rPr>
            </w:pPr>
            <w:r w:rsidRPr="00BA5143">
              <w:rPr>
                <w:sz w:val="16"/>
                <w:szCs w:val="16"/>
                <w:lang w:val="en-US"/>
              </w:rPr>
              <w:t>Rating category</w:t>
            </w:r>
          </w:p>
        </w:tc>
        <w:tc>
          <w:tcPr>
            <w:tcW w:w="992" w:type="dxa"/>
            <w:vMerge w:val="restart"/>
            <w:tcBorders>
              <w:top w:val="single" w:sz="4" w:space="0" w:color="auto"/>
              <w:left w:val="single" w:sz="4" w:space="0" w:color="auto"/>
              <w:bottom w:val="single" w:sz="4" w:space="0" w:color="auto"/>
              <w:right w:val="single" w:sz="4" w:space="0" w:color="auto"/>
            </w:tcBorders>
            <w:hideMark/>
          </w:tcPr>
          <w:p w:rsidR="00780254" w:rsidRPr="00BA5143" w:rsidRDefault="00780254" w:rsidP="00780254">
            <w:pPr>
              <w:ind w:left="-85"/>
              <w:rPr>
                <w:sz w:val="16"/>
                <w:szCs w:val="16"/>
                <w:lang w:val="en-US"/>
              </w:rPr>
            </w:pPr>
            <w:r w:rsidRPr="00BA5143">
              <w:rPr>
                <w:sz w:val="16"/>
                <w:szCs w:val="16"/>
                <w:lang w:val="en-US"/>
              </w:rPr>
              <w:t>The carrying amount in accordance with IAS 39 (outstanding at end of period 31.12.2017)</w:t>
            </w:r>
          </w:p>
        </w:tc>
        <w:tc>
          <w:tcPr>
            <w:tcW w:w="851" w:type="dxa"/>
            <w:vMerge w:val="restart"/>
            <w:tcBorders>
              <w:top w:val="single" w:sz="4" w:space="0" w:color="auto"/>
              <w:left w:val="single" w:sz="4" w:space="0" w:color="auto"/>
              <w:bottom w:val="single" w:sz="4" w:space="0" w:color="auto"/>
              <w:right w:val="single" w:sz="4" w:space="0" w:color="auto"/>
            </w:tcBorders>
            <w:hideMark/>
          </w:tcPr>
          <w:p w:rsidR="00780254" w:rsidRPr="00BA5143" w:rsidRDefault="00780254" w:rsidP="00780254">
            <w:pPr>
              <w:ind w:left="-82" w:right="-132"/>
              <w:rPr>
                <w:sz w:val="16"/>
                <w:szCs w:val="16"/>
                <w:lang w:val="en-US"/>
              </w:rPr>
            </w:pPr>
            <w:r w:rsidRPr="00BA5143">
              <w:rPr>
                <w:sz w:val="16"/>
                <w:szCs w:val="16"/>
                <w:lang w:val="en-US"/>
              </w:rPr>
              <w:t>Provision in accordance with IAS 39 (outstanding at end of period 31.12.2017)</w:t>
            </w:r>
          </w:p>
        </w:tc>
        <w:tc>
          <w:tcPr>
            <w:tcW w:w="2977" w:type="dxa"/>
            <w:gridSpan w:val="4"/>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16"/>
                <w:szCs w:val="16"/>
                <w:lang w:val="en-US"/>
              </w:rPr>
            </w:pPr>
            <w:r w:rsidRPr="00BA5143">
              <w:rPr>
                <w:sz w:val="16"/>
                <w:szCs w:val="16"/>
                <w:lang w:val="en-US"/>
              </w:rPr>
              <w:t>Influence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80254" w:rsidRPr="00BA5143" w:rsidRDefault="00780254" w:rsidP="00780254">
            <w:pPr>
              <w:ind w:left="-80" w:right="-132"/>
              <w:rPr>
                <w:sz w:val="16"/>
                <w:szCs w:val="16"/>
                <w:lang w:val="en-US"/>
              </w:rPr>
            </w:pPr>
            <w:r w:rsidRPr="00BA5143">
              <w:rPr>
                <w:sz w:val="16"/>
                <w:szCs w:val="16"/>
                <w:lang w:val="en-US"/>
              </w:rPr>
              <w:t>Carrying amount in accordance with IFRS 9 (balance on the beginning of the period, 01/01/2018)</w:t>
            </w:r>
          </w:p>
        </w:tc>
        <w:tc>
          <w:tcPr>
            <w:tcW w:w="992" w:type="dxa"/>
            <w:vMerge w:val="restart"/>
            <w:tcBorders>
              <w:top w:val="single" w:sz="4" w:space="0" w:color="auto"/>
              <w:left w:val="single" w:sz="4" w:space="0" w:color="auto"/>
              <w:bottom w:val="single" w:sz="4" w:space="0" w:color="auto"/>
              <w:right w:val="single" w:sz="4" w:space="0" w:color="auto"/>
            </w:tcBorders>
            <w:hideMark/>
          </w:tcPr>
          <w:p w:rsidR="00780254" w:rsidRPr="00BA5143" w:rsidRDefault="00780254" w:rsidP="00780254">
            <w:pPr>
              <w:ind w:left="-87"/>
              <w:rPr>
                <w:sz w:val="16"/>
                <w:szCs w:val="16"/>
                <w:lang w:val="en-US"/>
              </w:rPr>
            </w:pPr>
            <w:r w:rsidRPr="00BA5143">
              <w:rPr>
                <w:sz w:val="16"/>
                <w:szCs w:val="16"/>
                <w:lang w:val="en-US"/>
              </w:rPr>
              <w:t>Provision in accordance with IFRS 9 (balance on the beginning of the period, 01/01/2018)</w:t>
            </w:r>
          </w:p>
        </w:tc>
      </w:tr>
      <w:tr w:rsidR="00780254" w:rsidRPr="00BA5143" w:rsidTr="00780254">
        <w:tc>
          <w:tcPr>
            <w:tcW w:w="993"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IAS 39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IFRS 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Revaluation</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Reclassification</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r>
      <w:tr w:rsidR="00780254" w:rsidRPr="00BA5143" w:rsidTr="00780254">
        <w:tc>
          <w:tcPr>
            <w:tcW w:w="993"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Expected credit losses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rsidP="00780254">
            <w:pPr>
              <w:ind w:left="-84"/>
              <w:rPr>
                <w:sz w:val="16"/>
                <w:szCs w:val="16"/>
                <w:lang w:val="en-US"/>
              </w:rPr>
            </w:pPr>
            <w:r w:rsidRPr="00BA5143">
              <w:rPr>
                <w:sz w:val="16"/>
                <w:szCs w:val="16"/>
                <w:lang w:val="en-US"/>
              </w:rPr>
              <w:t>Other</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rsidP="00780254">
            <w:pPr>
              <w:ind w:left="-79"/>
              <w:rPr>
                <w:sz w:val="16"/>
                <w:szCs w:val="16"/>
                <w:lang w:val="en-US"/>
              </w:rPr>
            </w:pPr>
            <w:r w:rsidRPr="00BA5143">
              <w:rPr>
                <w:sz w:val="16"/>
                <w:szCs w:val="16"/>
                <w:lang w:val="en-US"/>
              </w:rPr>
              <w:t>Obligatory</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rsidP="00780254">
            <w:pPr>
              <w:ind w:left="-83" w:right="-131"/>
              <w:rPr>
                <w:sz w:val="16"/>
                <w:szCs w:val="16"/>
                <w:lang w:val="en-US"/>
              </w:rPr>
            </w:pPr>
            <w:r w:rsidRPr="00BA5143">
              <w:rPr>
                <w:sz w:val="16"/>
                <w:szCs w:val="16"/>
                <w:lang w:val="en-US"/>
              </w:rPr>
              <w:t>Voluntary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r>
      <w:tr w:rsidR="00780254" w:rsidRPr="00BA5143" w:rsidTr="00780254">
        <w:tc>
          <w:tcPr>
            <w:tcW w:w="993"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16"/>
                <w:szCs w:val="16"/>
                <w:lang w:val="en-US"/>
              </w:rPr>
            </w:pPr>
            <w:r w:rsidRPr="00BA5143">
              <w:rPr>
                <w:i/>
                <w:color w:val="000000" w:themeColor="text1"/>
                <w:sz w:val="16"/>
                <w:szCs w:val="16"/>
                <w:lang w:val="en-US"/>
              </w:rPr>
              <w:t>Cash and cash equivalents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Correspondent accounts opened with other banks</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Estimated at amortized cost</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2 516</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2 516</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w:t>
            </w:r>
          </w:p>
        </w:tc>
      </w:tr>
      <w:tr w:rsidR="00780254" w:rsidRPr="00BA5143" w:rsidTr="00780254">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Securities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Securities held to maturity (T-bills)</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Estimated at amortized cost</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128 629</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128 629</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w:t>
            </w:r>
          </w:p>
        </w:tc>
      </w:tr>
      <w:tr w:rsidR="00780254" w:rsidRPr="00BA5143" w:rsidTr="00780254">
        <w:tc>
          <w:tcPr>
            <w:tcW w:w="993"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Securities in bank's portfolio to maturity (NBU deposit certificates)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Estimated at amortized cost</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21 091</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21 091</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w:t>
            </w:r>
          </w:p>
        </w:tc>
      </w:tr>
      <w:tr w:rsidR="00780254" w:rsidRPr="00BA5143" w:rsidTr="00780254">
        <w:tc>
          <w:tcPr>
            <w:tcW w:w="993" w:type="dxa"/>
            <w:vMerge/>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Total securities in the bank's portfolio to maturity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Estimated at amortized cost</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149 720</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i/>
                <w:color w:val="000000" w:themeColor="text1"/>
                <w:sz w:val="16"/>
                <w:szCs w:val="16"/>
                <w:lang w:val="en-US"/>
              </w:rPr>
              <w:t>149 720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w:t>
            </w:r>
          </w:p>
        </w:tc>
      </w:tr>
      <w:tr w:rsidR="00780254" w:rsidRPr="00BA5143" w:rsidTr="00780254">
        <w:tc>
          <w:tcPr>
            <w:tcW w:w="993"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b/>
                <w:color w:val="000000" w:themeColor="text1"/>
                <w:sz w:val="16"/>
                <w:szCs w:val="16"/>
                <w:lang w:val="en-US"/>
              </w:rPr>
              <w:t>Total financial assets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152 236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jc w:val="center"/>
              <w:rPr>
                <w:sz w:val="16"/>
                <w:szCs w:val="16"/>
                <w:lang w:val="en-US"/>
              </w:rPr>
            </w:pPr>
            <w:r w:rsidRPr="00BA5143">
              <w:rPr>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sz w:val="16"/>
                <w:szCs w:val="16"/>
                <w:lang w:val="en-US"/>
              </w:rPr>
            </w:pPr>
            <w:r w:rsidRPr="00BA5143">
              <w:rPr>
                <w:color w:val="000000" w:themeColor="text1"/>
                <w:sz w:val="16"/>
                <w:szCs w:val="16"/>
                <w:lang w:val="en-US"/>
              </w:rPr>
              <w:t>152 236</w:t>
            </w:r>
          </w:p>
        </w:tc>
        <w:tc>
          <w:tcPr>
            <w:tcW w:w="992"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rPr>
                <w:color w:val="000000" w:themeColor="text1"/>
                <w:sz w:val="16"/>
                <w:szCs w:val="16"/>
                <w:lang w:val="en-US"/>
              </w:rPr>
            </w:pPr>
            <w:r w:rsidRPr="00BA5143">
              <w:rPr>
                <w:color w:val="000000" w:themeColor="text1"/>
                <w:sz w:val="16"/>
                <w:szCs w:val="16"/>
                <w:lang w:val="en-US"/>
              </w:rPr>
              <w:t>-</w:t>
            </w:r>
          </w:p>
        </w:tc>
      </w:tr>
    </w:tbl>
    <w:p w:rsidR="00176B98" w:rsidRPr="00BA5143" w:rsidRDefault="00F52B77" w:rsidP="005A1FB6">
      <w:pPr>
        <w:ind w:firstLine="567"/>
        <w:jc w:val="both"/>
        <w:rPr>
          <w:lang w:val="en-US"/>
        </w:rPr>
      </w:pPr>
      <w:r w:rsidRPr="00BA5143">
        <w:rPr>
          <w:lang w:val="en-US"/>
        </w:rPr>
        <w:t>No changes were made to the classification and subsequent assessment of financial liabilities of the Bank.</w:t>
      </w:r>
    </w:p>
    <w:p w:rsidR="006330E4" w:rsidRPr="00BA5143" w:rsidRDefault="00F52B77" w:rsidP="005A1FB6">
      <w:pPr>
        <w:ind w:firstLine="540"/>
        <w:jc w:val="both"/>
        <w:rPr>
          <w:iCs/>
          <w:lang w:val="en-US"/>
        </w:rPr>
      </w:pPr>
      <w:proofErr w:type="gramStart"/>
      <w:r w:rsidRPr="00BA5143">
        <w:rPr>
          <w:iCs/>
          <w:lang w:val="en-US"/>
        </w:rPr>
        <w:t>IFRS 15 “Revenue from Contracts with Customer”.</w:t>
      </w:r>
      <w:proofErr w:type="gramEnd"/>
      <w:r w:rsidRPr="00BA5143">
        <w:rPr>
          <w:iCs/>
          <w:lang w:val="en-US"/>
        </w:rPr>
        <w:t xml:space="preserve"> IFRS 15 provides for a new five-step model that applies to revenues from contracts with customers that are not included in the scope of applying IFRS 16 “Leases” and IFRS 9 “Financial Instruments”. In accordance with IFRS 15, revenue from such contracts is recognized in the amount reflecting the consideration that the entity expects to receive in exchange for the transfer of assets or services to the client. The principles of IFRS 15 provide for a more structured approach to the measurement and recognition of revenues. The introduction of IFRS 15 did not materially affect the Bank's financial statements, taking into account that the Bank does not sell non-financial assets or deferred payment services.</w:t>
      </w:r>
    </w:p>
    <w:p w:rsidR="00F52B77" w:rsidRDefault="00F52B77" w:rsidP="005A1FB6">
      <w:pPr>
        <w:ind w:firstLine="540"/>
        <w:jc w:val="both"/>
        <w:rPr>
          <w:lang w:val="en-US"/>
        </w:rPr>
      </w:pPr>
    </w:p>
    <w:p w:rsidR="00956DE4" w:rsidRPr="00BA5143" w:rsidRDefault="00956DE4" w:rsidP="00956DE4">
      <w:pPr>
        <w:ind w:firstLine="709"/>
        <w:jc w:val="both"/>
        <w:rPr>
          <w:b/>
          <w:lang w:val="en-US"/>
        </w:rPr>
      </w:pPr>
      <w:proofErr w:type="gramStart"/>
      <w:r w:rsidRPr="00BA5143">
        <w:rPr>
          <w:b/>
          <w:lang w:val="en-US"/>
        </w:rPr>
        <w:t>Note 5.</w:t>
      </w:r>
      <w:proofErr w:type="gramEnd"/>
      <w:r w:rsidRPr="00BA5143">
        <w:rPr>
          <w:b/>
          <w:lang w:val="en-US"/>
        </w:rPr>
        <w:t xml:space="preserve"> New and revised standards that have not entered into force</w:t>
      </w:r>
    </w:p>
    <w:p w:rsidR="00956DE4" w:rsidRPr="00BA5143" w:rsidRDefault="00956DE4" w:rsidP="00956DE4">
      <w:pPr>
        <w:ind w:firstLine="709"/>
        <w:jc w:val="both"/>
        <w:rPr>
          <w:b/>
          <w:lang w:val="en-US"/>
        </w:rPr>
      </w:pPr>
    </w:p>
    <w:p w:rsidR="004840CD" w:rsidRPr="00BA5143" w:rsidRDefault="00956DE4" w:rsidP="00956DE4">
      <w:pPr>
        <w:ind w:firstLine="709"/>
        <w:jc w:val="both"/>
        <w:rPr>
          <w:bCs/>
          <w:lang w:val="en-US"/>
        </w:rPr>
      </w:pPr>
      <w:r w:rsidRPr="00BA5143">
        <w:rPr>
          <w:bCs/>
          <w:lang w:val="en-US"/>
        </w:rPr>
        <w:t>A number of new standards and explanations are published that are mandatory for annual periods beginning on or after 1 January 2019 and which the Bank has not yet accepted ahead of schedule:</w:t>
      </w:r>
    </w:p>
    <w:p w:rsidR="00956DE4" w:rsidRPr="00BA5143" w:rsidRDefault="00956DE4" w:rsidP="00956DE4">
      <w:pPr>
        <w:ind w:firstLine="709"/>
        <w:jc w:val="both"/>
        <w:rPr>
          <w:lang w:val="en-US"/>
        </w:rPr>
      </w:pPr>
    </w:p>
    <w:p w:rsidR="00956DE4" w:rsidRPr="00BA5143" w:rsidRDefault="00956DE4" w:rsidP="00FA6F93">
      <w:pPr>
        <w:ind w:firstLine="567"/>
        <w:jc w:val="both"/>
        <w:rPr>
          <w:i/>
          <w:lang w:val="en-US"/>
        </w:rPr>
      </w:pPr>
      <w:r w:rsidRPr="00BA5143">
        <w:rPr>
          <w:i/>
          <w:lang w:val="en-US"/>
        </w:rPr>
        <w:lastRenderedPageBreak/>
        <w:t xml:space="preserve">IFRS 16 “Leases” </w:t>
      </w:r>
      <w:r w:rsidRPr="00BA5143">
        <w:rPr>
          <w:iCs/>
          <w:lang w:val="en-US"/>
        </w:rPr>
        <w:t>(issued January 13, 2016 and effective for annual periods beginning on or after 1 January 2019). The new standard establishes the principles for recognizing, evaluating, presenting and disclosing information about the lease. All lease agreements lead to the tenant's right to use the asset from the moment the lease expires, as well as to receive financing if lease payments are made during a period of time. Accordingly, IFRS 16 abolishes the classification of the lease as operating or financial, as foreseen by IAS 17, and instead introduces a single model for accounting for lease transactions for lessees. Tenants will have to recognize: (a) assets and liabilities in relation to all lease contracts with a validity period of more than 12 months, except when the value of the leased property is insignificant; and (b) depreciation of leased assets separately from interest on a lease in the statement of income. In relation to leasing to a lessor, IFRS 16, in essence, retains the accounting requirements provided for in IAS 17. Thus, the lessor continues to classify lease contracts as operating or financial leases and, accordingly, reflect them differently in reporting [According to the estimates of the management, implementation of the relevant standard will not have a material impact on the Bank's financial statements.]</w:t>
      </w:r>
    </w:p>
    <w:p w:rsidR="00001011" w:rsidRPr="00BA5143" w:rsidRDefault="00956DE4" w:rsidP="00FA6F93">
      <w:pPr>
        <w:ind w:firstLine="567"/>
        <w:jc w:val="both"/>
        <w:rPr>
          <w:lang w:val="en-US"/>
        </w:rPr>
      </w:pPr>
      <w:r w:rsidRPr="00BA5143">
        <w:rPr>
          <w:lang w:val="en-US"/>
        </w:rPr>
        <w:t>Clarification of IFRIC 23 Uncertainty in Income Tax Income (issued June 7, 2017 and effective for annual periods beginning on or after 1 January 2019). IAS 12 contains a guide to accounting for current and deferred tax, but does not include guidance on how to reflect the effects of uncertainty. The clarification clarifies how to apply the recognition and measurement requirements in IAS 12 in the event of uncertainty in the presentation of the income tax. [It is currently expected that the standard will not have a material effect on the financial statements of the bank.]</w:t>
      </w:r>
    </w:p>
    <w:p w:rsidR="00956DE4" w:rsidRPr="00BA5143" w:rsidRDefault="00956DE4" w:rsidP="00CD516A">
      <w:pPr>
        <w:ind w:firstLine="567"/>
        <w:jc w:val="both"/>
        <w:rPr>
          <w:lang w:val="en-US"/>
        </w:rPr>
      </w:pPr>
      <w:r w:rsidRPr="00BA5143">
        <w:rPr>
          <w:lang w:val="en-US"/>
        </w:rPr>
        <w:t>Annual Improvements to IFRS, 2015-2017 - Amendments to IFRS 3, IFRS 11, IAS 12 and IAS 23 (issued December 12, 2017 and effective for annual periods beginning on or after 1 January 2010). January 1, 2019 or after this date).</w:t>
      </w:r>
    </w:p>
    <w:p w:rsidR="000D0F8F" w:rsidRPr="00BA5143" w:rsidRDefault="000D0F8F" w:rsidP="00CD516A">
      <w:pPr>
        <w:ind w:firstLine="567"/>
        <w:jc w:val="both"/>
        <w:rPr>
          <w:color w:val="000000"/>
          <w:lang w:val="en-US"/>
        </w:rPr>
      </w:pPr>
      <w:r w:rsidRPr="00BA5143">
        <w:rPr>
          <w:color w:val="000000"/>
          <w:lang w:val="en-US"/>
        </w:rPr>
        <w:t xml:space="preserve">These highly specialized adjustments relate to four standards. As far as IFRS 3 is concerned, they point out that the acquirer needs to reassess the previously prevailing share of joint operations when he gains control over the business. With respect to IFRS 11, the amendments indicate that an investor should not revalue its prior share of participation when it obtains joint control over joint operations, similar to existing requirements that apply when a related organization becomes a joint venture or vice </w:t>
      </w:r>
      <w:r w:rsidR="00201937" w:rsidRPr="00BA5143">
        <w:rPr>
          <w:color w:val="000000"/>
          <w:lang w:val="en-US"/>
        </w:rPr>
        <w:t>versa.</w:t>
      </w:r>
      <w:r w:rsidRPr="00BA5143">
        <w:rPr>
          <w:color w:val="000000"/>
          <w:lang w:val="en-US"/>
        </w:rPr>
        <w:t xml:space="preserve"> Amendments to IAS 12 clarify that an entity recognizes all the effects of declaring or paying dividends on profit tax when it recognizes transactions or events that have caused the corresponding distributions, such as a portion of the gain or loss, or as part of other aggregate revenues. It has now been clearly established that this requirement applies in all cases where payments for financial instruments classified as equity represent a distribution of profits, and not only where the tax consequences are the result of changes in the tax rates on distributed or retained earnings. Amendments to IAS 23 include a clear indication that loans and borrowings received specifically for the financing of a particular asset are excluded from the total cost of borrowings admitted to capitalization to a significant extent to the end of a given asset. The Bank is currently assessing the impact of changes on the financial statements.</w:t>
      </w:r>
    </w:p>
    <w:p w:rsidR="00FB78BD" w:rsidRPr="00BA5143" w:rsidRDefault="00FB78BD" w:rsidP="00FB78BD">
      <w:pPr>
        <w:ind w:firstLine="567"/>
        <w:jc w:val="both"/>
        <w:rPr>
          <w:i/>
          <w:iCs/>
          <w:color w:val="000000"/>
          <w:lang w:val="en-US"/>
        </w:rPr>
      </w:pPr>
      <w:r w:rsidRPr="00BA5143">
        <w:rPr>
          <w:i/>
          <w:iCs/>
          <w:color w:val="000000"/>
          <w:lang w:val="en-US"/>
        </w:rPr>
        <w:t>Amendments to IAS 19, "Amendment, Reduction and Settlement of a Pension Plan" (issued February 7, 2018 and effective for annual periods beginning on or after January 1, 2019).</w:t>
      </w:r>
    </w:p>
    <w:p w:rsidR="00FB78BD" w:rsidRPr="00BA5143" w:rsidRDefault="00FB78BD" w:rsidP="00FB78BD">
      <w:pPr>
        <w:ind w:firstLine="567"/>
        <w:jc w:val="both"/>
        <w:rPr>
          <w:color w:val="000000"/>
          <w:lang w:val="en-US"/>
        </w:rPr>
      </w:pPr>
      <w:r w:rsidRPr="00BA5143">
        <w:rPr>
          <w:color w:val="000000"/>
          <w:lang w:val="en-US"/>
        </w:rPr>
        <w:t xml:space="preserve">These amendments indicate how to determine retirement expenses in the event of a change in the retirement plan with established payments. When a plan is adjusted (modification, reduction or settlement), in accordance with the requirements of IAS 19, a net liability or asset over established payments should be reconsidered. These adjustments require the use of updated assumptions for this revaluation to determine the value of services in the current period and net interest on the balance in the reporting period after the program changes. Prior to the amendment, IAS 19 does not include guidance on determining these costs after the change in plan. The requirement to use updated assumptions is expected to provide useful information to </w:t>
      </w:r>
      <w:r w:rsidRPr="00BA5143">
        <w:rPr>
          <w:color w:val="000000"/>
          <w:lang w:val="en-US"/>
        </w:rPr>
        <w:lastRenderedPageBreak/>
        <w:t>users of financial statements. The Bank is currently assessing the impact of changes on the financial statements.</w:t>
      </w:r>
    </w:p>
    <w:p w:rsidR="00FB78BD" w:rsidRPr="00BA5143" w:rsidRDefault="00FB78BD" w:rsidP="00FB78BD">
      <w:pPr>
        <w:ind w:firstLine="567"/>
        <w:rPr>
          <w:color w:val="000000"/>
          <w:lang w:val="en-US"/>
        </w:rPr>
      </w:pPr>
      <w:r w:rsidRPr="00BA5143">
        <w:rPr>
          <w:color w:val="000000"/>
          <w:lang w:val="en-US"/>
        </w:rPr>
        <w:t>Amendments to the Conceptual Basis of Financial Statements (Issued March 29, 2018 and effective for annual periods beginning on or after January 1, 2020).</w:t>
      </w:r>
    </w:p>
    <w:p w:rsidR="00FB78BD" w:rsidRPr="00BA5143" w:rsidRDefault="00FB78BD" w:rsidP="00FB78BD">
      <w:pPr>
        <w:ind w:firstLine="567"/>
        <w:rPr>
          <w:color w:val="000000"/>
          <w:lang w:val="en-US"/>
        </w:rPr>
      </w:pPr>
      <w:r w:rsidRPr="00BA5143">
        <w:rPr>
          <w:color w:val="000000"/>
          <w:lang w:val="en-US"/>
        </w:rPr>
        <w:t>The new version of the conceptual framework for financial reporting includes a new section on valuation, recommendations for reporting financial results, improvements in definitions and recommendations (in particular, definitions of commitments), and clarifications on important issues such as the role of leadership, prudence and uncertainty of assessment in the preparation of financial reporting</w:t>
      </w:r>
    </w:p>
    <w:p w:rsidR="00001011" w:rsidRPr="00BA5143" w:rsidRDefault="00FB78BD" w:rsidP="00FB78BD">
      <w:pPr>
        <w:ind w:firstLine="567"/>
        <w:rPr>
          <w:highlight w:val="yellow"/>
          <w:lang w:val="en-US"/>
        </w:rPr>
      </w:pPr>
      <w:r w:rsidRPr="00BA5143">
        <w:rPr>
          <w:color w:val="000000"/>
          <w:lang w:val="en-US"/>
        </w:rPr>
        <w:t>Unless otherwise stated above, it is expected that these new standards and explanations will not have a significant effect on the Bank's financial statements.</w:t>
      </w:r>
    </w:p>
    <w:p w:rsidR="00176B98" w:rsidRPr="00BA5143" w:rsidRDefault="00176B98" w:rsidP="00001011">
      <w:pPr>
        <w:rPr>
          <w:highlight w:val="yellow"/>
          <w:lang w:val="en-US"/>
        </w:rPr>
      </w:pPr>
    </w:p>
    <w:p w:rsidR="00780254" w:rsidRPr="00BA5143" w:rsidRDefault="00780254" w:rsidP="00E47444">
      <w:pPr>
        <w:pStyle w:val="a6"/>
        <w:rPr>
          <w:b/>
          <w:lang w:val="en-US"/>
        </w:rPr>
      </w:pPr>
      <w:proofErr w:type="gramStart"/>
      <w:r w:rsidRPr="00BA5143">
        <w:rPr>
          <w:b/>
          <w:lang w:val="en-US"/>
        </w:rPr>
        <w:t>NOTE 6.</w:t>
      </w:r>
      <w:proofErr w:type="gramEnd"/>
      <w:r w:rsidRPr="00BA5143">
        <w:rPr>
          <w:b/>
          <w:lang w:val="en-US"/>
        </w:rPr>
        <w:t xml:space="preserve"> CASH AND CASH EQUIVALENTS</w:t>
      </w:r>
    </w:p>
    <w:p w:rsidR="006012B7" w:rsidRPr="00BA5143" w:rsidRDefault="00780254" w:rsidP="00E47444">
      <w:pPr>
        <w:pStyle w:val="a6"/>
        <w:rPr>
          <w:b/>
          <w:lang w:val="en-US"/>
        </w:rPr>
      </w:pPr>
      <w:r w:rsidRPr="00BA5143">
        <w:rPr>
          <w:b/>
          <w:lang w:val="en-US"/>
        </w:rPr>
        <w:t>Table</w:t>
      </w:r>
      <w:r w:rsidR="006012B7" w:rsidRPr="00BA5143">
        <w:rPr>
          <w:b/>
          <w:lang w:val="en-US"/>
        </w:rPr>
        <w:t xml:space="preserve"> 6.1. </w:t>
      </w:r>
      <w:r w:rsidRPr="00BA5143">
        <w:rPr>
          <w:b/>
          <w:lang w:val="en-US"/>
        </w:rPr>
        <w:t>Cash and cash equivalents</w:t>
      </w:r>
    </w:p>
    <w:p w:rsidR="00207506" w:rsidRPr="00BA5143" w:rsidRDefault="00AA33B6" w:rsidP="00AA33B6">
      <w:pPr>
        <w:spacing w:line="240" w:lineRule="exact"/>
        <w:jc w:val="center"/>
        <w:rPr>
          <w:lang w:val="en-US"/>
        </w:rPr>
      </w:pPr>
      <w:r w:rsidRPr="00BA5143">
        <w:rPr>
          <w:lang w:val="en-US"/>
        </w:rPr>
        <w:t xml:space="preserve">                                                                                                      </w:t>
      </w:r>
      <w:r w:rsidR="00780254" w:rsidRPr="00BA5143">
        <w:rPr>
          <w:lang w:val="en-US"/>
        </w:rPr>
        <w:t>(ths. UAH.)</w:t>
      </w:r>
    </w:p>
    <w:tbl>
      <w:tblPr>
        <w:tblW w:w="9315" w:type="dxa"/>
        <w:tblLayout w:type="fixed"/>
        <w:tblLook w:val="00A0"/>
      </w:tblPr>
      <w:tblGrid>
        <w:gridCol w:w="675"/>
        <w:gridCol w:w="5665"/>
        <w:gridCol w:w="1558"/>
        <w:gridCol w:w="1417"/>
      </w:tblGrid>
      <w:tr w:rsidR="00780254" w:rsidRPr="00BA5143" w:rsidTr="00780254">
        <w:trPr>
          <w:trHeight w:val="651"/>
        </w:trPr>
        <w:tc>
          <w:tcPr>
            <w:tcW w:w="675" w:type="dxa"/>
            <w:tcBorders>
              <w:top w:val="single" w:sz="4" w:space="0" w:color="auto"/>
              <w:left w:val="single" w:sz="4" w:space="0" w:color="auto"/>
              <w:bottom w:val="single" w:sz="4" w:space="0" w:color="auto"/>
              <w:right w:val="single" w:sz="4" w:space="0" w:color="auto"/>
            </w:tcBorders>
            <w:vAlign w:val="center"/>
          </w:tcPr>
          <w:p w:rsidR="00780254" w:rsidRPr="00BA5143" w:rsidRDefault="00780254">
            <w:pPr>
              <w:spacing w:line="200" w:lineRule="exact"/>
              <w:jc w:val="center"/>
              <w:rPr>
                <w:sz w:val="20"/>
                <w:lang w:val="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 xml:space="preserve">2018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 xml:space="preserve">2017 </w:t>
            </w:r>
          </w:p>
        </w:tc>
      </w:tr>
      <w:tr w:rsidR="00780254" w:rsidRPr="00BA5143" w:rsidTr="00780254">
        <w:trPr>
          <w:trHeight w:val="236"/>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1</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4</w:t>
            </w:r>
          </w:p>
        </w:tc>
      </w:tr>
      <w:tr w:rsidR="00780254" w:rsidRPr="00BA5143" w:rsidTr="00780254">
        <w:trPr>
          <w:trHeight w:val="126"/>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1</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Cash funds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2 479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901</w:t>
            </w:r>
          </w:p>
        </w:tc>
      </w:tr>
      <w:tr w:rsidR="00780254" w:rsidRPr="00BA5143" w:rsidTr="00780254">
        <w:trPr>
          <w:trHeight w:val="437"/>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2</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Correspondent accounts, deposits and overnight loans at banks: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828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2 516</w:t>
            </w:r>
          </w:p>
        </w:tc>
      </w:tr>
      <w:tr w:rsidR="00780254" w:rsidRPr="00BA5143" w:rsidTr="00780254">
        <w:trPr>
          <w:trHeight w:val="276"/>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2.1.</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of Ukraine</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828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2 516</w:t>
            </w:r>
          </w:p>
        </w:tc>
      </w:tr>
      <w:tr w:rsidR="00780254" w:rsidRPr="00BA5143" w:rsidTr="00780254">
        <w:trPr>
          <w:trHeight w:val="165"/>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2.2.</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other countries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w:t>
            </w:r>
          </w:p>
        </w:tc>
      </w:tr>
      <w:tr w:rsidR="00780254" w:rsidRPr="00BA5143" w:rsidTr="00780254">
        <w:trPr>
          <w:trHeight w:val="165"/>
        </w:trPr>
        <w:tc>
          <w:tcPr>
            <w:tcW w:w="675" w:type="dxa"/>
            <w:tcBorders>
              <w:top w:val="single" w:sz="4" w:space="0" w:color="auto"/>
              <w:left w:val="single" w:sz="4" w:space="0" w:color="auto"/>
              <w:bottom w:val="single" w:sz="4" w:space="0" w:color="auto"/>
              <w:right w:val="single" w:sz="4" w:space="0" w:color="auto"/>
            </w:tcBorders>
            <w:hideMark/>
          </w:tcPr>
          <w:p w:rsidR="00780254" w:rsidRPr="00BA5143" w:rsidRDefault="00780254">
            <w:pPr>
              <w:spacing w:line="200" w:lineRule="exact"/>
              <w:jc w:val="center"/>
              <w:rPr>
                <w:sz w:val="20"/>
                <w:lang w:val="en-US"/>
              </w:rPr>
            </w:pPr>
            <w:r w:rsidRPr="00BA5143">
              <w:rPr>
                <w:sz w:val="20"/>
                <w:lang w:val="en-US"/>
              </w:rPr>
              <w:t>3.</w:t>
            </w:r>
          </w:p>
        </w:tc>
        <w:tc>
          <w:tcPr>
            <w:tcW w:w="5670"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Reserve for depreciation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sz w:val="20"/>
                <w:lang w:val="en-US"/>
              </w:rPr>
            </w:pPr>
            <w:r w:rsidRPr="00BA5143">
              <w:rPr>
                <w:sz w:val="20"/>
                <w:lang w:val="en-US"/>
              </w:rPr>
              <w:t>-</w:t>
            </w:r>
          </w:p>
        </w:tc>
      </w:tr>
      <w:tr w:rsidR="00780254" w:rsidRPr="00BA5143" w:rsidTr="00780254">
        <w:trPr>
          <w:trHeight w:val="258"/>
        </w:trPr>
        <w:tc>
          <w:tcPr>
            <w:tcW w:w="675"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b/>
                <w:sz w:val="20"/>
                <w:lang w:val="en-US"/>
              </w:rPr>
            </w:pPr>
            <w:r w:rsidRPr="00BA5143">
              <w:rPr>
                <w:b/>
                <w:sz w:val="20"/>
                <w:lang w:val="en-US"/>
              </w:rPr>
              <w:t>4</w:t>
            </w:r>
          </w:p>
        </w:tc>
        <w:tc>
          <w:tcPr>
            <w:tcW w:w="5670" w:type="dxa"/>
            <w:tcBorders>
              <w:top w:val="single" w:sz="4" w:space="0" w:color="auto"/>
              <w:left w:val="single" w:sz="4" w:space="0" w:color="auto"/>
              <w:bottom w:val="single" w:sz="4" w:space="0" w:color="auto"/>
              <w:right w:val="nil"/>
            </w:tcBorders>
            <w:vAlign w:val="center"/>
            <w:hideMark/>
          </w:tcPr>
          <w:p w:rsidR="00780254" w:rsidRPr="00BA5143" w:rsidRDefault="00780254">
            <w:pPr>
              <w:spacing w:line="200" w:lineRule="exact"/>
              <w:rPr>
                <w:b/>
                <w:sz w:val="20"/>
                <w:lang w:val="en-US"/>
              </w:rPr>
            </w:pPr>
            <w:r w:rsidRPr="00BA5143">
              <w:rPr>
                <w:b/>
                <w:sz w:val="20"/>
                <w:lang w:val="en-US"/>
              </w:rPr>
              <w:t>Total cash and cash equivalents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right"/>
              <w:rPr>
                <w:b/>
                <w:sz w:val="20"/>
                <w:lang w:val="en-US"/>
              </w:rPr>
            </w:pPr>
            <w:r w:rsidRPr="00BA5143">
              <w:rPr>
                <w:b/>
                <w:sz w:val="20"/>
                <w:lang w:val="en-US"/>
              </w:rPr>
              <w:t>3 289</w:t>
            </w:r>
          </w:p>
        </w:tc>
        <w:tc>
          <w:tcPr>
            <w:tcW w:w="1418" w:type="dxa"/>
            <w:tcBorders>
              <w:top w:val="single" w:sz="4" w:space="0" w:color="auto"/>
              <w:left w:val="nil"/>
              <w:bottom w:val="single" w:sz="4" w:space="0" w:color="auto"/>
              <w:right w:val="single" w:sz="4" w:space="0" w:color="auto"/>
            </w:tcBorders>
            <w:vAlign w:val="center"/>
            <w:hideMark/>
          </w:tcPr>
          <w:p w:rsidR="00780254" w:rsidRPr="00BA5143" w:rsidRDefault="00780254">
            <w:pPr>
              <w:spacing w:line="200" w:lineRule="exact"/>
              <w:jc w:val="right"/>
              <w:rPr>
                <w:b/>
                <w:sz w:val="20"/>
                <w:lang w:val="en-US"/>
              </w:rPr>
            </w:pPr>
            <w:r w:rsidRPr="00BA5143">
              <w:rPr>
                <w:b/>
                <w:sz w:val="20"/>
                <w:lang w:val="en-US"/>
              </w:rPr>
              <w:t>3 417</w:t>
            </w:r>
          </w:p>
        </w:tc>
      </w:tr>
    </w:tbl>
    <w:p w:rsidR="00207506" w:rsidRPr="00BA5143" w:rsidRDefault="00207506" w:rsidP="00AA33B6">
      <w:pPr>
        <w:spacing w:line="240" w:lineRule="exact"/>
        <w:jc w:val="center"/>
        <w:rPr>
          <w:lang w:val="en-US"/>
        </w:rPr>
      </w:pPr>
    </w:p>
    <w:p w:rsidR="00780254" w:rsidRPr="00BA5143" w:rsidRDefault="00780254" w:rsidP="00780254">
      <w:pPr>
        <w:jc w:val="both"/>
        <w:rPr>
          <w:b/>
          <w:spacing w:val="-4"/>
          <w:lang w:val="en-US"/>
        </w:rPr>
      </w:pPr>
      <w:r w:rsidRPr="00BA5143">
        <w:rPr>
          <w:b/>
          <w:spacing w:val="-4"/>
          <w:lang w:val="en-US"/>
        </w:rPr>
        <w:t>Table 6.2. Analysis of changes in provision for cash and cash equivalents</w:t>
      </w:r>
    </w:p>
    <w:p w:rsidR="00780254" w:rsidRPr="00BA5143" w:rsidRDefault="00780254" w:rsidP="00780254">
      <w:pPr>
        <w:ind w:firstLine="709"/>
        <w:jc w:val="right"/>
        <w:rPr>
          <w:spacing w:val="-4"/>
          <w:lang w:val="en-US"/>
        </w:rPr>
      </w:pPr>
      <w:r w:rsidRPr="00BA5143">
        <w:rPr>
          <w:spacing w:val="-4"/>
          <w:lang w:val="en-US"/>
        </w:rPr>
        <w:t xml:space="preserve">                                                                                                                </w:t>
      </w:r>
      <w:r w:rsidRPr="00BA5143">
        <w:rPr>
          <w:lang w:val="en-US"/>
        </w:rPr>
        <w:t>(ths.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692"/>
        <w:gridCol w:w="1558"/>
        <w:gridCol w:w="1417"/>
      </w:tblGrid>
      <w:tr w:rsidR="00780254" w:rsidRPr="00BA5143" w:rsidTr="00780254">
        <w:tc>
          <w:tcPr>
            <w:tcW w:w="648" w:type="dxa"/>
            <w:tcBorders>
              <w:top w:val="single" w:sz="4" w:space="0" w:color="auto"/>
              <w:left w:val="single" w:sz="4" w:space="0" w:color="auto"/>
              <w:bottom w:val="single" w:sz="4" w:space="0" w:color="auto"/>
              <w:right w:val="single" w:sz="4" w:space="0" w:color="auto"/>
            </w:tcBorders>
          </w:tcPr>
          <w:p w:rsidR="00780254" w:rsidRPr="00BA5143" w:rsidRDefault="00780254">
            <w:pPr>
              <w:jc w:val="center"/>
              <w:rPr>
                <w:sz w:val="20"/>
                <w:szCs w:val="20"/>
                <w:lang w:val="en-US"/>
              </w:rPr>
            </w:pPr>
          </w:p>
        </w:tc>
        <w:tc>
          <w:tcPr>
            <w:tcW w:w="5697"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 xml:space="preserve">2018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80254" w:rsidRPr="00BA5143" w:rsidRDefault="00780254">
            <w:pPr>
              <w:spacing w:line="200" w:lineRule="exact"/>
              <w:jc w:val="center"/>
              <w:rPr>
                <w:sz w:val="20"/>
                <w:lang w:val="en-US"/>
              </w:rPr>
            </w:pPr>
            <w:r w:rsidRPr="00BA5143">
              <w:rPr>
                <w:sz w:val="20"/>
                <w:lang w:val="en-US"/>
              </w:rPr>
              <w:t xml:space="preserve">2017 </w:t>
            </w:r>
          </w:p>
        </w:tc>
      </w:tr>
      <w:tr w:rsidR="00780254" w:rsidRPr="00BA5143" w:rsidTr="00780254">
        <w:tc>
          <w:tcPr>
            <w:tcW w:w="64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4</w:t>
            </w:r>
          </w:p>
        </w:tc>
      </w:tr>
      <w:tr w:rsidR="00780254" w:rsidRPr="00BA5143" w:rsidTr="00780254">
        <w:trPr>
          <w:trHeight w:val="164"/>
        </w:trPr>
        <w:tc>
          <w:tcPr>
            <w:tcW w:w="64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Provision for impairment at the beginning of the period</w:t>
            </w:r>
          </w:p>
        </w:tc>
        <w:tc>
          <w:tcPr>
            <w:tcW w:w="1559"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w:t>
            </w:r>
          </w:p>
        </w:tc>
      </w:tr>
      <w:tr w:rsidR="00780254" w:rsidRPr="00BA5143" w:rsidTr="00780254">
        <w:trPr>
          <w:trHeight w:val="164"/>
        </w:trPr>
        <w:tc>
          <w:tcPr>
            <w:tcW w:w="64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2</w:t>
            </w:r>
          </w:p>
        </w:tc>
        <w:tc>
          <w:tcPr>
            <w:tcW w:w="5697"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(Increase) / decrease in provision for impairment of purchased / initiated financial assets</w:t>
            </w:r>
          </w:p>
        </w:tc>
        <w:tc>
          <w:tcPr>
            <w:tcW w:w="1559"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w:t>
            </w:r>
          </w:p>
        </w:tc>
      </w:tr>
      <w:tr w:rsidR="00780254" w:rsidRPr="00BA5143" w:rsidTr="00780254">
        <w:trPr>
          <w:trHeight w:val="164"/>
        </w:trPr>
        <w:tc>
          <w:tcPr>
            <w:tcW w:w="64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center"/>
              <w:rPr>
                <w:sz w:val="20"/>
                <w:szCs w:val="20"/>
                <w:lang w:val="en-US"/>
              </w:rPr>
            </w:pPr>
            <w:r w:rsidRPr="00BA5143">
              <w:rPr>
                <w:sz w:val="20"/>
                <w:szCs w:val="20"/>
                <w:lang w:val="en-US"/>
              </w:rPr>
              <w:t>3</w:t>
            </w:r>
          </w:p>
        </w:tc>
        <w:tc>
          <w:tcPr>
            <w:tcW w:w="5697" w:type="dxa"/>
            <w:tcBorders>
              <w:top w:val="single" w:sz="4" w:space="0" w:color="auto"/>
              <w:left w:val="single" w:sz="4" w:space="0" w:color="auto"/>
              <w:bottom w:val="single" w:sz="4" w:space="0" w:color="auto"/>
              <w:right w:val="single" w:sz="4" w:space="0" w:color="auto"/>
            </w:tcBorders>
            <w:hideMark/>
          </w:tcPr>
          <w:p w:rsidR="00780254" w:rsidRPr="00BA5143" w:rsidRDefault="00780254">
            <w:pPr>
              <w:rPr>
                <w:sz w:val="20"/>
                <w:szCs w:val="20"/>
                <w:lang w:val="en-US"/>
              </w:rPr>
            </w:pPr>
            <w:r w:rsidRPr="00BA5143">
              <w:rPr>
                <w:sz w:val="20"/>
                <w:szCs w:val="20"/>
                <w:lang w:val="en-US"/>
              </w:rPr>
              <w:t>Provision for impairment at the end of the period</w:t>
            </w:r>
          </w:p>
        </w:tc>
        <w:tc>
          <w:tcPr>
            <w:tcW w:w="1559"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hideMark/>
          </w:tcPr>
          <w:p w:rsidR="00780254" w:rsidRPr="00BA5143" w:rsidRDefault="00780254">
            <w:pPr>
              <w:jc w:val="right"/>
              <w:rPr>
                <w:sz w:val="20"/>
                <w:szCs w:val="20"/>
                <w:lang w:val="en-US"/>
              </w:rPr>
            </w:pPr>
            <w:r w:rsidRPr="00BA5143">
              <w:rPr>
                <w:sz w:val="20"/>
                <w:szCs w:val="20"/>
                <w:lang w:val="en-US"/>
              </w:rPr>
              <w:t>-</w:t>
            </w:r>
          </w:p>
        </w:tc>
      </w:tr>
    </w:tbl>
    <w:p w:rsidR="00B63B3C" w:rsidRPr="00BA5143" w:rsidRDefault="00B63B3C" w:rsidP="00467B07">
      <w:pPr>
        <w:jc w:val="both"/>
        <w:rPr>
          <w:spacing w:val="-4"/>
          <w:sz w:val="28"/>
          <w:szCs w:val="28"/>
          <w:lang w:val="en-US"/>
        </w:rPr>
      </w:pPr>
    </w:p>
    <w:p w:rsidR="00F52437" w:rsidRPr="00BA5143" w:rsidRDefault="00F52437" w:rsidP="00467B07">
      <w:pPr>
        <w:jc w:val="both"/>
        <w:rPr>
          <w:b/>
          <w:spacing w:val="-4"/>
          <w:lang w:val="en-US"/>
        </w:rPr>
      </w:pPr>
      <w:r w:rsidRPr="00BA5143">
        <w:rPr>
          <w:b/>
          <w:spacing w:val="-4"/>
          <w:lang w:val="en-US"/>
        </w:rPr>
        <w:t>Table 6.3. Analysis of changes in the gross carrying amount of cash and cash equivalents</w:t>
      </w:r>
      <w:r w:rsidRPr="00BA5143">
        <w:rPr>
          <w:spacing w:val="-4"/>
          <w:lang w:val="en-US"/>
        </w:rPr>
        <w:t xml:space="preserve">            </w:t>
      </w:r>
    </w:p>
    <w:p w:rsidR="00F52437" w:rsidRPr="00BA5143" w:rsidRDefault="00F52437" w:rsidP="00F52437">
      <w:pPr>
        <w:ind w:firstLine="709"/>
        <w:jc w:val="right"/>
        <w:rPr>
          <w:lang w:val="en-US"/>
        </w:rPr>
      </w:pPr>
      <w:r w:rsidRPr="00BA5143">
        <w:rPr>
          <w:spacing w:val="-4"/>
          <w:lang w:val="en-US"/>
        </w:rPr>
        <w:t xml:space="preserve">                                                                                                   </w:t>
      </w:r>
      <w:r w:rsidRPr="00BA5143">
        <w:rPr>
          <w:lang w:val="en-US"/>
        </w:rPr>
        <w:t>(ths.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692"/>
        <w:gridCol w:w="1558"/>
        <w:gridCol w:w="1417"/>
      </w:tblGrid>
      <w:tr w:rsidR="00F52437" w:rsidRPr="00BA5143" w:rsidTr="00F52437">
        <w:tc>
          <w:tcPr>
            <w:tcW w:w="648" w:type="dxa"/>
            <w:tcBorders>
              <w:top w:val="single" w:sz="4" w:space="0" w:color="auto"/>
              <w:left w:val="single" w:sz="4" w:space="0" w:color="auto"/>
              <w:bottom w:val="single" w:sz="4" w:space="0" w:color="auto"/>
              <w:right w:val="single" w:sz="4" w:space="0" w:color="auto"/>
            </w:tcBorders>
          </w:tcPr>
          <w:p w:rsidR="00F52437" w:rsidRPr="00BA5143" w:rsidRDefault="00F52437">
            <w:pPr>
              <w:jc w:val="center"/>
              <w:rPr>
                <w:sz w:val="20"/>
                <w:szCs w:val="20"/>
                <w:lang w:val="en-US"/>
              </w:rPr>
            </w:pPr>
          </w:p>
        </w:tc>
        <w:tc>
          <w:tcPr>
            <w:tcW w:w="5697"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 xml:space="preserve">2018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 xml:space="preserve">2017 </w:t>
            </w:r>
          </w:p>
        </w:tc>
      </w:tr>
      <w:tr w:rsidR="00F52437" w:rsidRPr="00BA5143" w:rsidTr="00F52437">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4</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Gross book value at the beginning of the period</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3 417</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1 395</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2</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Acquired / initiated financial assets</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2 361 491</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1 503 960</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3</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Financial assets whose recognition has been canceled or canceled (except write-offs)</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(2 361 712)</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(1 501 938)</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4</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Other changes</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111</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5</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Gross Balance Sheet at the end of the period</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3 307</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3 417</w:t>
            </w:r>
          </w:p>
        </w:tc>
      </w:tr>
    </w:tbl>
    <w:p w:rsidR="00467B07" w:rsidRPr="00BA5143" w:rsidRDefault="00467B07" w:rsidP="00F52437">
      <w:pPr>
        <w:jc w:val="both"/>
        <w:rPr>
          <w:spacing w:val="-4"/>
          <w:sz w:val="28"/>
          <w:szCs w:val="28"/>
          <w:lang w:val="en-US"/>
        </w:rPr>
      </w:pPr>
    </w:p>
    <w:p w:rsidR="00F52437" w:rsidRPr="00BA5143" w:rsidRDefault="00F52437" w:rsidP="00F52437">
      <w:pPr>
        <w:jc w:val="both"/>
        <w:rPr>
          <w:b/>
          <w:spacing w:val="-4"/>
          <w:lang w:val="en-US"/>
        </w:rPr>
      </w:pPr>
      <w:r w:rsidRPr="00BA5143">
        <w:rPr>
          <w:b/>
          <w:spacing w:val="-4"/>
          <w:lang w:val="en-US"/>
        </w:rPr>
        <w:t>Table 6.4. Analysis of credit quality of cash and cash equivalents</w:t>
      </w:r>
    </w:p>
    <w:p w:rsidR="00F52437" w:rsidRPr="00BA5143" w:rsidRDefault="00F52437" w:rsidP="00F52437">
      <w:pPr>
        <w:ind w:firstLine="709"/>
        <w:jc w:val="right"/>
        <w:rPr>
          <w:lang w:val="en-US"/>
        </w:rPr>
      </w:pPr>
      <w:r w:rsidRPr="00BA5143">
        <w:rPr>
          <w:spacing w:val="-4"/>
          <w:lang w:val="en-US"/>
        </w:rPr>
        <w:t xml:space="preserve">                                                                                                                </w:t>
      </w:r>
      <w:r w:rsidRPr="00BA5143">
        <w:rPr>
          <w:lang w:val="en-US"/>
        </w:rPr>
        <w:t>(ths.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692"/>
        <w:gridCol w:w="1558"/>
        <w:gridCol w:w="1417"/>
      </w:tblGrid>
      <w:tr w:rsidR="00F52437" w:rsidRPr="00BA5143" w:rsidTr="00F52437">
        <w:tc>
          <w:tcPr>
            <w:tcW w:w="648" w:type="dxa"/>
            <w:tcBorders>
              <w:top w:val="single" w:sz="4" w:space="0" w:color="auto"/>
              <w:left w:val="single" w:sz="4" w:space="0" w:color="auto"/>
              <w:bottom w:val="single" w:sz="4" w:space="0" w:color="auto"/>
              <w:right w:val="single" w:sz="4" w:space="0" w:color="auto"/>
            </w:tcBorders>
          </w:tcPr>
          <w:p w:rsidR="00F52437" w:rsidRPr="00BA5143" w:rsidRDefault="00F52437">
            <w:pPr>
              <w:jc w:val="center"/>
              <w:rPr>
                <w:sz w:val="20"/>
                <w:szCs w:val="20"/>
                <w:lang w:val="en-US"/>
              </w:rPr>
            </w:pPr>
          </w:p>
        </w:tc>
        <w:tc>
          <w:tcPr>
            <w:tcW w:w="5697"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 xml:space="preserve">2018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2437" w:rsidRPr="00BA5143" w:rsidRDefault="00F52437">
            <w:pPr>
              <w:spacing w:line="200" w:lineRule="exact"/>
              <w:jc w:val="center"/>
              <w:rPr>
                <w:sz w:val="20"/>
                <w:lang w:val="en-US"/>
              </w:rPr>
            </w:pPr>
            <w:r w:rsidRPr="00BA5143">
              <w:rPr>
                <w:sz w:val="20"/>
                <w:lang w:val="en-US"/>
              </w:rPr>
              <w:t xml:space="preserve">2017 </w:t>
            </w:r>
          </w:p>
        </w:tc>
      </w:tr>
      <w:tr w:rsidR="00F52437" w:rsidRPr="00BA5143" w:rsidTr="00F52437">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4</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High rating</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2 914</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3 417</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2</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Medium rating</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393</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w:t>
            </w:r>
          </w:p>
        </w:tc>
      </w:tr>
      <w:tr w:rsidR="00F52437" w:rsidRPr="00BA5143" w:rsidTr="00F52437">
        <w:trPr>
          <w:trHeight w:val="164"/>
        </w:trPr>
        <w:tc>
          <w:tcPr>
            <w:tcW w:w="64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center"/>
              <w:rPr>
                <w:sz w:val="20"/>
                <w:szCs w:val="20"/>
                <w:lang w:val="en-US"/>
              </w:rPr>
            </w:pPr>
            <w:r w:rsidRPr="00BA5143">
              <w:rPr>
                <w:sz w:val="20"/>
                <w:szCs w:val="20"/>
                <w:lang w:val="en-US"/>
              </w:rPr>
              <w:t>3</w:t>
            </w:r>
          </w:p>
        </w:tc>
        <w:tc>
          <w:tcPr>
            <w:tcW w:w="5697"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both"/>
              <w:rPr>
                <w:sz w:val="20"/>
                <w:szCs w:val="20"/>
                <w:lang w:val="en-US"/>
              </w:rPr>
            </w:pPr>
            <w:r w:rsidRPr="00BA5143">
              <w:rPr>
                <w:sz w:val="20"/>
                <w:szCs w:val="20"/>
                <w:lang w:val="en-US"/>
              </w:rPr>
              <w:t>Total cash and cash equivalents</w:t>
            </w:r>
          </w:p>
        </w:tc>
        <w:tc>
          <w:tcPr>
            <w:tcW w:w="1559"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3 307</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szCs w:val="20"/>
                <w:lang w:val="en-US"/>
              </w:rPr>
            </w:pPr>
            <w:r w:rsidRPr="00BA5143">
              <w:rPr>
                <w:sz w:val="20"/>
                <w:szCs w:val="20"/>
                <w:lang w:val="en-US"/>
              </w:rPr>
              <w:t>3 417</w:t>
            </w:r>
          </w:p>
        </w:tc>
      </w:tr>
    </w:tbl>
    <w:p w:rsidR="00207506" w:rsidRPr="00BA5143" w:rsidRDefault="00207506" w:rsidP="00AA33B6">
      <w:pPr>
        <w:spacing w:line="240" w:lineRule="exact"/>
        <w:jc w:val="center"/>
        <w:rPr>
          <w:lang w:val="en-US"/>
        </w:rPr>
      </w:pPr>
    </w:p>
    <w:p w:rsidR="00F52437" w:rsidRPr="00BA5143" w:rsidRDefault="00F52437" w:rsidP="00F52437">
      <w:pPr>
        <w:spacing w:line="240" w:lineRule="exact"/>
        <w:rPr>
          <w:b/>
          <w:lang w:val="en-US"/>
        </w:rPr>
      </w:pPr>
      <w:r w:rsidRPr="00BA5143">
        <w:rPr>
          <w:b/>
          <w:lang w:val="en-US"/>
        </w:rPr>
        <w:lastRenderedPageBreak/>
        <w:t>NOTE 7. INVESTMENTS IN SECURITIES</w:t>
      </w:r>
    </w:p>
    <w:p w:rsidR="002A3E55" w:rsidRPr="00BA5143" w:rsidRDefault="002A3E55" w:rsidP="002A3E55">
      <w:pPr>
        <w:rPr>
          <w:b/>
          <w:lang w:val="en-US"/>
        </w:rPr>
      </w:pPr>
    </w:p>
    <w:p w:rsidR="00F52437" w:rsidRPr="00BA5143" w:rsidRDefault="00F52437" w:rsidP="00F52437">
      <w:pPr>
        <w:rPr>
          <w:b/>
          <w:color w:val="FF0000"/>
          <w:lang w:val="en-US"/>
        </w:rPr>
      </w:pPr>
      <w:r w:rsidRPr="00BA5143">
        <w:rPr>
          <w:b/>
          <w:lang w:val="en-US"/>
        </w:rPr>
        <w:t>Table 7.1. Investments in securities that are accounted for at amortized cost</w:t>
      </w:r>
    </w:p>
    <w:p w:rsidR="00F52437" w:rsidRPr="00BA5143" w:rsidRDefault="00F52437" w:rsidP="00F52437">
      <w:pPr>
        <w:jc w:val="center"/>
        <w:rPr>
          <w:lang w:val="en-US"/>
        </w:rPr>
      </w:pPr>
      <w:r w:rsidRPr="00BA5143">
        <w:rPr>
          <w:lang w:val="en-US"/>
        </w:rPr>
        <w:t xml:space="preserve">                                                                                                                                       (ths. UAH.)</w:t>
      </w:r>
    </w:p>
    <w:tbl>
      <w:tblPr>
        <w:tblW w:w="9323" w:type="dxa"/>
        <w:tblLook w:val="00A0"/>
      </w:tblPr>
      <w:tblGrid>
        <w:gridCol w:w="960"/>
        <w:gridCol w:w="5385"/>
        <w:gridCol w:w="1560"/>
        <w:gridCol w:w="1418"/>
      </w:tblGrid>
      <w:tr w:rsidR="00F52437" w:rsidRPr="00BA5143" w:rsidTr="00F52437">
        <w:trPr>
          <w:trHeight w:val="578"/>
        </w:trPr>
        <w:tc>
          <w:tcPr>
            <w:tcW w:w="960" w:type="dxa"/>
            <w:tcBorders>
              <w:top w:val="single" w:sz="4" w:space="0" w:color="000000"/>
              <w:left w:val="single" w:sz="4" w:space="0" w:color="000000"/>
              <w:bottom w:val="single" w:sz="4" w:space="0" w:color="000000"/>
              <w:right w:val="single" w:sz="4" w:space="0" w:color="000000"/>
            </w:tcBorders>
            <w:vAlign w:val="center"/>
            <w:hideMark/>
          </w:tcPr>
          <w:p w:rsidR="00F52437" w:rsidRPr="00BA5143" w:rsidRDefault="00467B07">
            <w:pPr>
              <w:jc w:val="center"/>
              <w:rPr>
                <w:sz w:val="20"/>
                <w:lang w:val="en-US"/>
              </w:rPr>
            </w:pPr>
            <w:r w:rsidRPr="00BA5143">
              <w:rPr>
                <w:sz w:val="20"/>
                <w:lang w:val="en-US"/>
              </w:rPr>
              <w:t>Line</w:t>
            </w:r>
          </w:p>
        </w:tc>
        <w:tc>
          <w:tcPr>
            <w:tcW w:w="5385" w:type="dxa"/>
            <w:tcBorders>
              <w:top w:val="single" w:sz="4" w:space="0" w:color="000000"/>
              <w:left w:val="nil"/>
              <w:bottom w:val="single" w:sz="4" w:space="0" w:color="000000"/>
              <w:right w:val="single" w:sz="4" w:space="0" w:color="000000"/>
            </w:tcBorders>
            <w:vAlign w:val="center"/>
            <w:hideMark/>
          </w:tcPr>
          <w:p w:rsidR="00F52437" w:rsidRPr="00BA5143" w:rsidRDefault="00467B07">
            <w:pPr>
              <w:spacing w:line="200" w:lineRule="exact"/>
              <w:jc w:val="center"/>
              <w:rPr>
                <w:sz w:val="20"/>
                <w:lang w:val="en-US"/>
              </w:rPr>
            </w:pPr>
            <w:r w:rsidRPr="00BA5143">
              <w:rPr>
                <w:sz w:val="20"/>
                <w:lang w:val="en-US"/>
              </w:rPr>
              <w:t>Item</w:t>
            </w:r>
          </w:p>
        </w:tc>
        <w:tc>
          <w:tcPr>
            <w:tcW w:w="1560" w:type="dxa"/>
            <w:tcBorders>
              <w:top w:val="single" w:sz="4" w:space="0" w:color="000000"/>
              <w:left w:val="nil"/>
              <w:bottom w:val="single" w:sz="4" w:space="0" w:color="000000"/>
              <w:right w:val="single" w:sz="4" w:space="0" w:color="000000"/>
            </w:tcBorders>
            <w:vAlign w:val="center"/>
            <w:hideMark/>
          </w:tcPr>
          <w:p w:rsidR="00F52437" w:rsidRPr="00BA5143" w:rsidRDefault="00F52437">
            <w:pPr>
              <w:spacing w:line="200" w:lineRule="exact"/>
              <w:jc w:val="center"/>
              <w:rPr>
                <w:sz w:val="20"/>
                <w:lang w:val="en-US"/>
              </w:rPr>
            </w:pPr>
            <w:r w:rsidRPr="00BA5143">
              <w:rPr>
                <w:sz w:val="20"/>
                <w:lang w:val="en-US"/>
              </w:rPr>
              <w:t>2018</w:t>
            </w:r>
          </w:p>
        </w:tc>
        <w:tc>
          <w:tcPr>
            <w:tcW w:w="1418" w:type="dxa"/>
            <w:tcBorders>
              <w:top w:val="single" w:sz="4" w:space="0" w:color="000000"/>
              <w:left w:val="nil"/>
              <w:bottom w:val="single" w:sz="4" w:space="0" w:color="000000"/>
              <w:right w:val="single" w:sz="4" w:space="0" w:color="000000"/>
            </w:tcBorders>
            <w:vAlign w:val="center"/>
            <w:hideMark/>
          </w:tcPr>
          <w:p w:rsidR="00F52437" w:rsidRPr="00BA5143" w:rsidRDefault="00F52437">
            <w:pPr>
              <w:spacing w:line="200" w:lineRule="exact"/>
              <w:jc w:val="center"/>
              <w:rPr>
                <w:sz w:val="20"/>
                <w:lang w:val="en-US"/>
              </w:rPr>
            </w:pPr>
            <w:r w:rsidRPr="00BA5143">
              <w:rPr>
                <w:sz w:val="20"/>
                <w:lang w:val="en-US"/>
              </w:rPr>
              <w:t xml:space="preserve">2017 </w:t>
            </w:r>
          </w:p>
        </w:tc>
      </w:tr>
      <w:tr w:rsidR="00F52437" w:rsidRPr="00BA5143" w:rsidTr="00F52437">
        <w:trPr>
          <w:trHeight w:val="101"/>
        </w:trPr>
        <w:tc>
          <w:tcPr>
            <w:tcW w:w="960" w:type="dxa"/>
            <w:tcBorders>
              <w:top w:val="nil"/>
              <w:left w:val="single" w:sz="4" w:space="0" w:color="000000"/>
              <w:bottom w:val="single" w:sz="4" w:space="0" w:color="000000"/>
              <w:right w:val="single" w:sz="4" w:space="0" w:color="000000"/>
            </w:tcBorders>
            <w:hideMark/>
          </w:tcPr>
          <w:p w:rsidR="00F52437" w:rsidRPr="00BA5143" w:rsidRDefault="00F52437">
            <w:pPr>
              <w:jc w:val="center"/>
              <w:rPr>
                <w:sz w:val="20"/>
                <w:lang w:val="en-US"/>
              </w:rPr>
            </w:pPr>
            <w:r w:rsidRPr="00BA5143">
              <w:rPr>
                <w:sz w:val="20"/>
                <w:lang w:val="en-US"/>
              </w:rPr>
              <w:t>1</w:t>
            </w:r>
          </w:p>
        </w:tc>
        <w:tc>
          <w:tcPr>
            <w:tcW w:w="5385" w:type="dxa"/>
            <w:tcBorders>
              <w:top w:val="nil"/>
              <w:left w:val="nil"/>
              <w:bottom w:val="single" w:sz="4" w:space="0" w:color="auto"/>
              <w:right w:val="single" w:sz="4" w:space="0" w:color="000000"/>
            </w:tcBorders>
            <w:hideMark/>
          </w:tcPr>
          <w:p w:rsidR="00F52437" w:rsidRPr="00BA5143" w:rsidRDefault="00F52437">
            <w:pPr>
              <w:jc w:val="center"/>
              <w:rPr>
                <w:sz w:val="20"/>
                <w:lang w:val="en-US"/>
              </w:rPr>
            </w:pPr>
            <w:r w:rsidRPr="00BA5143">
              <w:rPr>
                <w:sz w:val="20"/>
                <w:lang w:val="en-US"/>
              </w:rPr>
              <w:t>2</w:t>
            </w:r>
          </w:p>
        </w:tc>
        <w:tc>
          <w:tcPr>
            <w:tcW w:w="1560" w:type="dxa"/>
            <w:tcBorders>
              <w:top w:val="nil"/>
              <w:left w:val="nil"/>
              <w:bottom w:val="single" w:sz="4" w:space="0" w:color="auto"/>
              <w:right w:val="single" w:sz="4" w:space="0" w:color="auto"/>
            </w:tcBorders>
            <w:hideMark/>
          </w:tcPr>
          <w:p w:rsidR="00F52437" w:rsidRPr="00BA5143" w:rsidRDefault="00F52437">
            <w:pPr>
              <w:jc w:val="center"/>
              <w:rPr>
                <w:sz w:val="20"/>
                <w:lang w:val="en-US"/>
              </w:rPr>
            </w:pPr>
            <w:r w:rsidRPr="00BA5143">
              <w:rPr>
                <w:sz w:val="20"/>
                <w:lang w:val="en-US"/>
              </w:rPr>
              <w:t>3</w:t>
            </w:r>
          </w:p>
        </w:tc>
        <w:tc>
          <w:tcPr>
            <w:tcW w:w="1418" w:type="dxa"/>
            <w:tcBorders>
              <w:top w:val="nil"/>
              <w:left w:val="single" w:sz="4" w:space="0" w:color="auto"/>
              <w:bottom w:val="single" w:sz="4" w:space="0" w:color="auto"/>
              <w:right w:val="single" w:sz="4" w:space="0" w:color="000000"/>
            </w:tcBorders>
            <w:hideMark/>
          </w:tcPr>
          <w:p w:rsidR="00F52437" w:rsidRPr="00BA5143" w:rsidRDefault="00F52437">
            <w:pPr>
              <w:jc w:val="center"/>
              <w:rPr>
                <w:sz w:val="20"/>
                <w:lang w:val="en-US"/>
              </w:rPr>
            </w:pPr>
            <w:r w:rsidRPr="00BA5143">
              <w:rPr>
                <w:sz w:val="20"/>
                <w:lang w:val="en-US"/>
              </w:rPr>
              <w:t>4</w:t>
            </w:r>
          </w:p>
        </w:tc>
      </w:tr>
      <w:tr w:rsidR="00F52437" w:rsidRPr="00BA5143" w:rsidTr="00F52437">
        <w:trPr>
          <w:trHeight w:val="204"/>
        </w:trPr>
        <w:tc>
          <w:tcPr>
            <w:tcW w:w="960" w:type="dxa"/>
            <w:tcBorders>
              <w:top w:val="nil"/>
              <w:left w:val="single" w:sz="4" w:space="0" w:color="000000"/>
              <w:bottom w:val="single" w:sz="4" w:space="0" w:color="000000"/>
              <w:right w:val="single" w:sz="4" w:space="0" w:color="auto"/>
            </w:tcBorders>
            <w:hideMark/>
          </w:tcPr>
          <w:p w:rsidR="00F52437" w:rsidRPr="00BA5143" w:rsidRDefault="00F52437">
            <w:pPr>
              <w:jc w:val="center"/>
              <w:rPr>
                <w:sz w:val="20"/>
                <w:lang w:val="en-US"/>
              </w:rPr>
            </w:pPr>
            <w:r w:rsidRPr="00BA5143">
              <w:rPr>
                <w:sz w:val="20"/>
                <w:lang w:val="en-US"/>
              </w:rPr>
              <w:t>1</w:t>
            </w:r>
          </w:p>
        </w:tc>
        <w:tc>
          <w:tcPr>
            <w:tcW w:w="5385" w:type="dxa"/>
            <w:tcBorders>
              <w:top w:val="single" w:sz="4" w:space="0" w:color="auto"/>
              <w:left w:val="single" w:sz="4" w:space="0" w:color="auto"/>
              <w:bottom w:val="single" w:sz="4" w:space="0" w:color="auto"/>
              <w:right w:val="nil"/>
            </w:tcBorders>
            <w:hideMark/>
          </w:tcPr>
          <w:p w:rsidR="00F52437" w:rsidRPr="00BA5143" w:rsidRDefault="00F52437">
            <w:pPr>
              <w:jc w:val="both"/>
              <w:rPr>
                <w:sz w:val="20"/>
                <w:szCs w:val="20"/>
                <w:lang w:val="en-US"/>
              </w:rPr>
            </w:pPr>
            <w:r w:rsidRPr="00BA5143">
              <w:rPr>
                <w:sz w:val="20"/>
                <w:szCs w:val="20"/>
                <w:lang w:val="en-US"/>
              </w:rPr>
              <w:t>Government bonds</w:t>
            </w:r>
          </w:p>
        </w:tc>
        <w:tc>
          <w:tcPr>
            <w:tcW w:w="1560"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120 878</w:t>
            </w:r>
          </w:p>
        </w:tc>
        <w:tc>
          <w:tcPr>
            <w:tcW w:w="1418"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128 629</w:t>
            </w:r>
          </w:p>
        </w:tc>
      </w:tr>
      <w:tr w:rsidR="00F52437" w:rsidRPr="00BA5143" w:rsidTr="00F52437">
        <w:trPr>
          <w:trHeight w:val="144"/>
        </w:trPr>
        <w:tc>
          <w:tcPr>
            <w:tcW w:w="960" w:type="dxa"/>
            <w:tcBorders>
              <w:top w:val="nil"/>
              <w:left w:val="single" w:sz="4" w:space="0" w:color="000000"/>
              <w:bottom w:val="single" w:sz="4" w:space="0" w:color="000000"/>
              <w:right w:val="single" w:sz="4" w:space="0" w:color="auto"/>
            </w:tcBorders>
            <w:hideMark/>
          </w:tcPr>
          <w:p w:rsidR="00F52437" w:rsidRPr="00BA5143" w:rsidRDefault="00F52437">
            <w:pPr>
              <w:jc w:val="center"/>
              <w:rPr>
                <w:sz w:val="20"/>
                <w:lang w:val="en-US"/>
              </w:rPr>
            </w:pPr>
            <w:r w:rsidRPr="00BA5143">
              <w:rPr>
                <w:sz w:val="20"/>
                <w:lang w:val="en-US"/>
              </w:rPr>
              <w:t>2</w:t>
            </w:r>
          </w:p>
        </w:tc>
        <w:tc>
          <w:tcPr>
            <w:tcW w:w="5385" w:type="dxa"/>
            <w:tcBorders>
              <w:top w:val="single" w:sz="4" w:space="0" w:color="auto"/>
              <w:left w:val="single" w:sz="4" w:space="0" w:color="auto"/>
              <w:bottom w:val="single" w:sz="4" w:space="0" w:color="auto"/>
              <w:right w:val="nil"/>
            </w:tcBorders>
            <w:hideMark/>
          </w:tcPr>
          <w:p w:rsidR="00F52437" w:rsidRPr="00BA5143" w:rsidRDefault="00F52437">
            <w:pPr>
              <w:jc w:val="both"/>
              <w:rPr>
                <w:sz w:val="20"/>
                <w:szCs w:val="20"/>
                <w:lang w:val="en-US"/>
              </w:rPr>
            </w:pPr>
            <w:r w:rsidRPr="00BA5143">
              <w:rPr>
                <w:sz w:val="20"/>
                <w:szCs w:val="20"/>
                <w:lang w:val="en-US"/>
              </w:rPr>
              <w:t>NBU deposit certificates</w:t>
            </w:r>
          </w:p>
        </w:tc>
        <w:tc>
          <w:tcPr>
            <w:tcW w:w="1560"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48 165</w:t>
            </w:r>
          </w:p>
        </w:tc>
        <w:tc>
          <w:tcPr>
            <w:tcW w:w="1418" w:type="dxa"/>
            <w:tcBorders>
              <w:top w:val="single" w:sz="4" w:space="0" w:color="auto"/>
              <w:left w:val="nil"/>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21 091</w:t>
            </w:r>
          </w:p>
        </w:tc>
      </w:tr>
      <w:tr w:rsidR="00F52437" w:rsidRPr="00BA5143" w:rsidTr="00F52437">
        <w:trPr>
          <w:trHeight w:val="366"/>
        </w:trPr>
        <w:tc>
          <w:tcPr>
            <w:tcW w:w="960" w:type="dxa"/>
            <w:tcBorders>
              <w:top w:val="nil"/>
              <w:left w:val="single" w:sz="4" w:space="0" w:color="000000"/>
              <w:bottom w:val="single" w:sz="4" w:space="0" w:color="000000"/>
              <w:right w:val="single" w:sz="4" w:space="0" w:color="auto"/>
            </w:tcBorders>
            <w:hideMark/>
          </w:tcPr>
          <w:p w:rsidR="00F52437" w:rsidRPr="00BA5143" w:rsidRDefault="00F52437">
            <w:pPr>
              <w:jc w:val="center"/>
              <w:rPr>
                <w:sz w:val="20"/>
                <w:lang w:val="en-US"/>
              </w:rPr>
            </w:pPr>
            <w:r w:rsidRPr="00BA5143">
              <w:rPr>
                <w:sz w:val="20"/>
                <w:lang w:val="en-US"/>
              </w:rPr>
              <w:t>3</w:t>
            </w:r>
          </w:p>
        </w:tc>
        <w:tc>
          <w:tcPr>
            <w:tcW w:w="5385" w:type="dxa"/>
            <w:tcBorders>
              <w:top w:val="single" w:sz="4" w:space="0" w:color="auto"/>
              <w:left w:val="single" w:sz="4" w:space="0" w:color="auto"/>
              <w:bottom w:val="single" w:sz="4" w:space="0" w:color="auto"/>
              <w:right w:val="nil"/>
            </w:tcBorders>
            <w:hideMark/>
          </w:tcPr>
          <w:p w:rsidR="00F52437" w:rsidRPr="00BA5143" w:rsidRDefault="00F52437">
            <w:pPr>
              <w:jc w:val="both"/>
              <w:rPr>
                <w:sz w:val="20"/>
                <w:szCs w:val="20"/>
                <w:lang w:val="en-US"/>
              </w:rPr>
            </w:pPr>
            <w:r w:rsidRPr="00BA5143">
              <w:rPr>
                <w:sz w:val="20"/>
                <w:szCs w:val="20"/>
                <w:lang w:val="en-US"/>
              </w:rPr>
              <w:t>Provision for debt securities at fair value</w:t>
            </w:r>
          </w:p>
        </w:tc>
        <w:tc>
          <w:tcPr>
            <w:tcW w:w="1560" w:type="dxa"/>
            <w:tcBorders>
              <w:top w:val="single" w:sz="4" w:space="0" w:color="auto"/>
              <w:left w:val="single" w:sz="4" w:space="0" w:color="auto"/>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w:t>
            </w:r>
          </w:p>
        </w:tc>
        <w:tc>
          <w:tcPr>
            <w:tcW w:w="1418" w:type="dxa"/>
            <w:tcBorders>
              <w:top w:val="single" w:sz="4" w:space="0" w:color="auto"/>
              <w:left w:val="nil"/>
              <w:bottom w:val="single" w:sz="4" w:space="0" w:color="auto"/>
              <w:right w:val="single" w:sz="4" w:space="0" w:color="auto"/>
            </w:tcBorders>
            <w:hideMark/>
          </w:tcPr>
          <w:p w:rsidR="00F52437" w:rsidRPr="00BA5143" w:rsidRDefault="00F52437">
            <w:pPr>
              <w:jc w:val="right"/>
              <w:rPr>
                <w:sz w:val="20"/>
                <w:lang w:val="en-US"/>
              </w:rPr>
            </w:pPr>
            <w:r w:rsidRPr="00BA5143">
              <w:rPr>
                <w:sz w:val="20"/>
                <w:lang w:val="en-US"/>
              </w:rPr>
              <w:t>-</w:t>
            </w:r>
          </w:p>
        </w:tc>
      </w:tr>
      <w:tr w:rsidR="00F52437" w:rsidRPr="00BA5143" w:rsidTr="00F52437">
        <w:trPr>
          <w:trHeight w:val="70"/>
        </w:trPr>
        <w:tc>
          <w:tcPr>
            <w:tcW w:w="960" w:type="dxa"/>
            <w:tcBorders>
              <w:top w:val="nil"/>
              <w:left w:val="single" w:sz="4" w:space="0" w:color="000000"/>
              <w:bottom w:val="single" w:sz="4" w:space="0" w:color="000000"/>
              <w:right w:val="single" w:sz="4" w:space="0" w:color="000000"/>
            </w:tcBorders>
            <w:hideMark/>
          </w:tcPr>
          <w:p w:rsidR="00F52437" w:rsidRPr="00BA5143" w:rsidRDefault="00F52437">
            <w:pPr>
              <w:jc w:val="center"/>
              <w:rPr>
                <w:b/>
                <w:sz w:val="20"/>
                <w:lang w:val="en-US"/>
              </w:rPr>
            </w:pPr>
            <w:r w:rsidRPr="00BA5143">
              <w:rPr>
                <w:b/>
                <w:sz w:val="20"/>
                <w:lang w:val="en-US"/>
              </w:rPr>
              <w:t>4</w:t>
            </w:r>
          </w:p>
        </w:tc>
        <w:tc>
          <w:tcPr>
            <w:tcW w:w="5385" w:type="dxa"/>
            <w:tcBorders>
              <w:top w:val="single" w:sz="4" w:space="0" w:color="auto"/>
              <w:left w:val="nil"/>
              <w:bottom w:val="single" w:sz="4" w:space="0" w:color="000000"/>
              <w:right w:val="nil"/>
            </w:tcBorders>
            <w:hideMark/>
          </w:tcPr>
          <w:p w:rsidR="00F52437" w:rsidRPr="00BA5143" w:rsidRDefault="00F52437">
            <w:pPr>
              <w:jc w:val="both"/>
              <w:rPr>
                <w:sz w:val="20"/>
                <w:szCs w:val="20"/>
                <w:lang w:val="en-US"/>
              </w:rPr>
            </w:pPr>
            <w:r w:rsidRPr="00BA5143">
              <w:rPr>
                <w:b/>
                <w:sz w:val="20"/>
                <w:lang w:val="en-US"/>
              </w:rPr>
              <w:t>Total investments in securities that are accounted for at amortized cost</w:t>
            </w:r>
          </w:p>
        </w:tc>
        <w:tc>
          <w:tcPr>
            <w:tcW w:w="1560" w:type="dxa"/>
            <w:tcBorders>
              <w:top w:val="single" w:sz="4" w:space="0" w:color="auto"/>
              <w:left w:val="single" w:sz="4" w:space="0" w:color="auto"/>
              <w:bottom w:val="single" w:sz="4" w:space="0" w:color="auto"/>
              <w:right w:val="single" w:sz="4" w:space="0" w:color="auto"/>
            </w:tcBorders>
            <w:noWrap/>
            <w:hideMark/>
          </w:tcPr>
          <w:p w:rsidR="00F52437" w:rsidRPr="00BA5143" w:rsidRDefault="00F52437">
            <w:pPr>
              <w:jc w:val="right"/>
              <w:rPr>
                <w:b/>
                <w:sz w:val="20"/>
                <w:lang w:val="en-US"/>
              </w:rPr>
            </w:pPr>
            <w:r w:rsidRPr="00BA5143">
              <w:rPr>
                <w:b/>
                <w:sz w:val="20"/>
                <w:lang w:val="en-US"/>
              </w:rPr>
              <w:t>169 043</w:t>
            </w:r>
          </w:p>
        </w:tc>
        <w:tc>
          <w:tcPr>
            <w:tcW w:w="1418" w:type="dxa"/>
            <w:tcBorders>
              <w:top w:val="single" w:sz="4" w:space="0" w:color="auto"/>
              <w:left w:val="nil"/>
              <w:bottom w:val="single" w:sz="4" w:space="0" w:color="auto"/>
              <w:right w:val="single" w:sz="4" w:space="0" w:color="auto"/>
            </w:tcBorders>
            <w:noWrap/>
            <w:hideMark/>
          </w:tcPr>
          <w:p w:rsidR="00F52437" w:rsidRPr="00BA5143" w:rsidRDefault="00F52437">
            <w:pPr>
              <w:jc w:val="right"/>
              <w:rPr>
                <w:b/>
                <w:sz w:val="20"/>
                <w:lang w:val="en-US"/>
              </w:rPr>
            </w:pPr>
            <w:r w:rsidRPr="00BA5143">
              <w:rPr>
                <w:b/>
                <w:sz w:val="20"/>
                <w:lang w:val="en-US"/>
              </w:rPr>
              <w:t>149 720</w:t>
            </w:r>
          </w:p>
        </w:tc>
      </w:tr>
    </w:tbl>
    <w:p w:rsidR="002A3E55" w:rsidRPr="00BA5143" w:rsidRDefault="00F52437" w:rsidP="00FB78BD">
      <w:pPr>
        <w:rPr>
          <w:sz w:val="20"/>
          <w:szCs w:val="20"/>
          <w:lang w:val="en-US"/>
        </w:rPr>
      </w:pPr>
      <w:r w:rsidRPr="00BA5143">
        <w:rPr>
          <w:sz w:val="20"/>
          <w:szCs w:val="20"/>
          <w:lang w:val="en-US"/>
        </w:rPr>
        <w:t xml:space="preserve"> </w:t>
      </w:r>
      <w:r w:rsidR="00FB78BD" w:rsidRPr="00BA5143">
        <w:rPr>
          <w:sz w:val="20"/>
          <w:szCs w:val="20"/>
          <w:lang w:val="en-US"/>
        </w:rPr>
        <w:t xml:space="preserve">As at the end of the day on December 31, 2018, the Bank did not have in place and did not transfer to security without termination of recognition the securities purchased under repo agreements, as well as securities that the Bank </w:t>
      </w:r>
      <w:r w:rsidR="00201937" w:rsidRPr="00BA5143">
        <w:rPr>
          <w:sz w:val="20"/>
          <w:szCs w:val="20"/>
          <w:lang w:val="en-US"/>
        </w:rPr>
        <w:t>cannot</w:t>
      </w:r>
      <w:r w:rsidR="00FB78BD" w:rsidRPr="00BA5143">
        <w:rPr>
          <w:sz w:val="20"/>
          <w:szCs w:val="20"/>
          <w:lang w:val="en-US"/>
        </w:rPr>
        <w:t xml:space="preserve"> sell or remit.</w:t>
      </w:r>
    </w:p>
    <w:p w:rsidR="00FB78BD" w:rsidRPr="00BA5143" w:rsidRDefault="00FB78BD" w:rsidP="00FB78BD">
      <w:pPr>
        <w:rPr>
          <w:lang w:val="en-US"/>
        </w:rPr>
      </w:pPr>
    </w:p>
    <w:p w:rsidR="00467B07" w:rsidRPr="00BA5143" w:rsidRDefault="00467B07" w:rsidP="00467B07">
      <w:pPr>
        <w:rPr>
          <w:b/>
          <w:color w:val="000000"/>
          <w:lang w:val="en-US"/>
        </w:rPr>
      </w:pPr>
      <w:r w:rsidRPr="00BA5143">
        <w:rPr>
          <w:b/>
          <w:color w:val="000000"/>
          <w:lang w:val="en-US"/>
        </w:rPr>
        <w:t>Table 7.2. Analysis of the credit quality of investments in securities, which are accounted for amortized cost, for 2018</w:t>
      </w:r>
    </w:p>
    <w:p w:rsidR="00467B07" w:rsidRPr="00BA5143" w:rsidRDefault="00467B07" w:rsidP="00467B07">
      <w:pPr>
        <w:jc w:val="center"/>
        <w:rPr>
          <w:color w:val="000000"/>
          <w:lang w:val="en-US"/>
        </w:rPr>
      </w:pPr>
      <w:r w:rsidRPr="00BA5143">
        <w:rPr>
          <w:color w:val="000000"/>
          <w:lang w:val="en-US"/>
        </w:rPr>
        <w:t xml:space="preserve">                                                                                                                                       (ths.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5382"/>
        <w:gridCol w:w="1133"/>
        <w:gridCol w:w="1133"/>
        <w:gridCol w:w="1133"/>
      </w:tblGrid>
      <w:tr w:rsidR="00467B07" w:rsidRPr="00BA5143" w:rsidTr="00467B07">
        <w:trPr>
          <w:cantSplit/>
          <w:trHeight w:val="207"/>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7B07" w:rsidRPr="00BA5143" w:rsidRDefault="00467B07">
            <w:pPr>
              <w:spacing w:line="200" w:lineRule="exact"/>
              <w:ind w:left="113" w:right="113"/>
              <w:jc w:val="center"/>
              <w:rPr>
                <w:sz w:val="20"/>
                <w:lang w:val="en-US"/>
              </w:rPr>
            </w:pPr>
            <w:r w:rsidRPr="00BA5143">
              <w:rPr>
                <w:sz w:val="20"/>
                <w:lang w:val="en-US"/>
              </w:rPr>
              <w:t xml:space="preserve">Line                         </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Item</w:t>
            </w:r>
          </w:p>
        </w:tc>
        <w:tc>
          <w:tcPr>
            <w:tcW w:w="2268" w:type="dxa"/>
            <w:gridSpan w:val="2"/>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Stage 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Total</w:t>
            </w:r>
          </w:p>
        </w:tc>
      </w:tr>
      <w:tr w:rsidR="00467B07" w:rsidRPr="006C58AD" w:rsidTr="00467B07">
        <w:trPr>
          <w:cantSplit/>
          <w:trHeight w:val="81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lang w:val="en-U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rsidP="00467B07">
            <w:pPr>
              <w:ind w:left="-77" w:right="-143"/>
              <w:rPr>
                <w:b/>
                <w:color w:val="FF0000"/>
                <w:sz w:val="20"/>
                <w:szCs w:val="20"/>
                <w:lang w:val="en-US"/>
              </w:rPr>
            </w:pPr>
            <w:r w:rsidRPr="00BA5143">
              <w:rPr>
                <w:sz w:val="20"/>
                <w:szCs w:val="20"/>
                <w:lang w:val="en-US"/>
              </w:rPr>
              <w:t>Government bonds</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Deposit certificates of the NBU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szCs w:val="20"/>
                <w:lang w:val="en-US"/>
              </w:rPr>
            </w:pPr>
          </w:p>
        </w:tc>
      </w:tr>
      <w:tr w:rsidR="00467B07" w:rsidRPr="00BA5143" w:rsidTr="00467B07">
        <w:trPr>
          <w:trHeight w:val="70"/>
        </w:trPr>
        <w:tc>
          <w:tcPr>
            <w:tcW w:w="5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5</w:t>
            </w:r>
          </w:p>
        </w:tc>
      </w:tr>
      <w:tr w:rsidR="00467B07" w:rsidRPr="00BA5143" w:rsidTr="00467B07">
        <w:trPr>
          <w:trHeight w:val="68"/>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bCs/>
                <w:sz w:val="20"/>
                <w:lang w:val="en-US"/>
              </w:rPr>
            </w:pPr>
            <w:r w:rsidRPr="00BA5143">
              <w:rPr>
                <w:bCs/>
                <w:sz w:val="20"/>
                <w:lang w:val="en-US"/>
              </w:rPr>
              <w:t>1</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both"/>
              <w:rPr>
                <w:sz w:val="20"/>
                <w:szCs w:val="20"/>
                <w:lang w:val="en-US"/>
              </w:rPr>
            </w:pPr>
            <w:r w:rsidRPr="00BA5143">
              <w:rPr>
                <w:sz w:val="20"/>
                <w:szCs w:val="20"/>
                <w:lang w:val="en-US"/>
              </w:rPr>
              <w:t>Debt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120 878</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48 165</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169 043</w:t>
            </w:r>
          </w:p>
        </w:tc>
      </w:tr>
      <w:tr w:rsidR="00467B07" w:rsidRPr="00BA5143" w:rsidTr="00467B07">
        <w:trPr>
          <w:trHeight w:val="68"/>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1.1 </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both"/>
              <w:rPr>
                <w:sz w:val="20"/>
                <w:szCs w:val="20"/>
                <w:lang w:val="en-US"/>
              </w:rPr>
            </w:pPr>
            <w:r w:rsidRPr="00BA5143">
              <w:rPr>
                <w:sz w:val="20"/>
                <w:szCs w:val="20"/>
                <w:lang w:val="en-US"/>
              </w:rPr>
              <w:t>Minimum credit risk</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120 878</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48 165</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169 043</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2</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both"/>
              <w:rPr>
                <w:sz w:val="20"/>
                <w:szCs w:val="20"/>
                <w:lang w:val="en-US"/>
              </w:rPr>
            </w:pPr>
            <w:r w:rsidRPr="00BA5143">
              <w:rPr>
                <w:sz w:val="20"/>
                <w:szCs w:val="20"/>
                <w:lang w:val="en-US"/>
              </w:rPr>
              <w:t>Total gross book value of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120 878</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48 165</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169 043</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3</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both"/>
              <w:rPr>
                <w:sz w:val="20"/>
                <w:szCs w:val="20"/>
                <w:lang w:val="en-US"/>
              </w:rPr>
            </w:pPr>
            <w:r w:rsidRPr="00BA5143">
              <w:rPr>
                <w:sz w:val="20"/>
                <w:szCs w:val="20"/>
                <w:lang w:val="en-US"/>
              </w:rPr>
              <w:t>Provision for impairment of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4</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both"/>
              <w:rPr>
                <w:sz w:val="20"/>
                <w:szCs w:val="20"/>
                <w:lang w:val="en-US"/>
              </w:rPr>
            </w:pPr>
            <w:r w:rsidRPr="00BA5143">
              <w:rPr>
                <w:sz w:val="20"/>
                <w:szCs w:val="20"/>
                <w:lang w:val="en-US"/>
              </w:rPr>
              <w:t>Total debt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120 878</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48 165</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169 043</w:t>
            </w:r>
          </w:p>
        </w:tc>
      </w:tr>
    </w:tbl>
    <w:p w:rsidR="002A3E55" w:rsidRPr="00BA5143" w:rsidRDefault="002A3E55" w:rsidP="002A3E55">
      <w:pPr>
        <w:rPr>
          <w:b/>
          <w:color w:val="000000"/>
          <w:lang w:val="en-US"/>
        </w:rPr>
      </w:pPr>
    </w:p>
    <w:p w:rsidR="00467B07" w:rsidRPr="00BA5143" w:rsidRDefault="00467B07" w:rsidP="00467B07">
      <w:pPr>
        <w:rPr>
          <w:b/>
          <w:color w:val="000000"/>
          <w:lang w:val="en-US"/>
        </w:rPr>
      </w:pPr>
      <w:r w:rsidRPr="00BA5143">
        <w:rPr>
          <w:b/>
          <w:color w:val="000000"/>
          <w:lang w:val="en-US"/>
        </w:rPr>
        <w:t>Table 7.3. Analysis of credit quality of investments in securities, which are accounted for amortized cost, for 2017</w:t>
      </w:r>
    </w:p>
    <w:p w:rsidR="00467B07" w:rsidRPr="00BA5143" w:rsidRDefault="00467B07" w:rsidP="00467B07">
      <w:pPr>
        <w:jc w:val="center"/>
        <w:rPr>
          <w:color w:val="000000"/>
          <w:lang w:val="en-US"/>
        </w:rPr>
      </w:pPr>
      <w:r w:rsidRPr="00BA5143">
        <w:rPr>
          <w:color w:val="000000"/>
          <w:lang w:val="en-US"/>
        </w:rPr>
        <w:t xml:space="preserve">                                                                                                                                     (ths.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5382"/>
        <w:gridCol w:w="1133"/>
        <w:gridCol w:w="1133"/>
        <w:gridCol w:w="1133"/>
      </w:tblGrid>
      <w:tr w:rsidR="00467B07" w:rsidRPr="00BA5143" w:rsidTr="00467B07">
        <w:trPr>
          <w:cantSplit/>
          <w:trHeight w:val="207"/>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7B07" w:rsidRPr="00BA5143" w:rsidRDefault="00467B07">
            <w:pPr>
              <w:spacing w:line="200" w:lineRule="exact"/>
              <w:ind w:left="113" w:right="113"/>
              <w:jc w:val="center"/>
              <w:rPr>
                <w:sz w:val="20"/>
                <w:lang w:val="en-US"/>
              </w:rPr>
            </w:pPr>
            <w:r w:rsidRPr="00BA5143">
              <w:rPr>
                <w:sz w:val="20"/>
                <w:lang w:val="en-US"/>
              </w:rPr>
              <w:t xml:space="preserve">Line                           </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Item</w:t>
            </w:r>
          </w:p>
        </w:tc>
        <w:tc>
          <w:tcPr>
            <w:tcW w:w="2268" w:type="dxa"/>
            <w:gridSpan w:val="2"/>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Stage 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 xml:space="preserve"> Total </w:t>
            </w:r>
          </w:p>
        </w:tc>
      </w:tr>
      <w:tr w:rsidR="00467B07" w:rsidRPr="006C58AD" w:rsidTr="00467B07">
        <w:trPr>
          <w:cantSplit/>
          <w:trHeight w:val="81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lang w:val="en-U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b/>
                <w:color w:val="FF0000"/>
                <w:sz w:val="20"/>
                <w:szCs w:val="20"/>
                <w:lang w:val="en-US"/>
              </w:rPr>
            </w:pPr>
            <w:r w:rsidRPr="00BA5143">
              <w:rPr>
                <w:sz w:val="20"/>
                <w:szCs w:val="20"/>
                <w:lang w:val="en-US"/>
              </w:rPr>
              <w:t>Government bonds</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b/>
                <w:color w:val="FF0000"/>
                <w:sz w:val="20"/>
                <w:szCs w:val="20"/>
                <w:lang w:val="en-US"/>
              </w:rPr>
            </w:pPr>
            <w:r w:rsidRPr="00BA5143">
              <w:rPr>
                <w:sz w:val="20"/>
                <w:szCs w:val="20"/>
                <w:lang w:val="en-US"/>
              </w:rPr>
              <w:t>Deposit certificates of the NBU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rPr>
                <w:sz w:val="20"/>
                <w:szCs w:val="20"/>
                <w:lang w:val="en-US"/>
              </w:rPr>
            </w:pPr>
          </w:p>
        </w:tc>
      </w:tr>
      <w:tr w:rsidR="00467B07" w:rsidRPr="00BA5143" w:rsidTr="00467B07">
        <w:trPr>
          <w:trHeight w:val="70"/>
        </w:trPr>
        <w:tc>
          <w:tcPr>
            <w:tcW w:w="5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5</w:t>
            </w:r>
          </w:p>
        </w:tc>
      </w:tr>
      <w:tr w:rsidR="00467B07" w:rsidRPr="00BA5143" w:rsidTr="00467B07">
        <w:trPr>
          <w:trHeight w:val="68"/>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bCs/>
                <w:sz w:val="20"/>
                <w:lang w:val="en-US"/>
              </w:rPr>
            </w:pPr>
            <w:r w:rsidRPr="00BA5143">
              <w:rPr>
                <w:bCs/>
                <w:sz w:val="20"/>
                <w:lang w:val="en-US"/>
              </w:rPr>
              <w:t>1</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Debt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128 629</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21 091</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r>
      <w:tr w:rsidR="00467B07" w:rsidRPr="00BA5143" w:rsidTr="00467B07">
        <w:trPr>
          <w:trHeight w:val="68"/>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1.1 </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Minimum credit risk</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128 629</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21 091</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2</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Total gross book value of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128 629</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21 091</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3</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Provision for impairment of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right"/>
              <w:rPr>
                <w:sz w:val="20"/>
                <w:lang w:val="en-US"/>
              </w:rPr>
            </w:pPr>
            <w:r w:rsidRPr="00BA5143">
              <w:rPr>
                <w:sz w:val="20"/>
                <w:lang w:val="en-US"/>
              </w:rPr>
              <w:t>-</w:t>
            </w:r>
          </w:p>
        </w:tc>
      </w:tr>
      <w:tr w:rsidR="00467B07" w:rsidRPr="00BA5143" w:rsidTr="00467B07">
        <w:trPr>
          <w:trHeight w:val="119"/>
        </w:trPr>
        <w:tc>
          <w:tcPr>
            <w:tcW w:w="534" w:type="dxa"/>
            <w:tcBorders>
              <w:top w:val="single" w:sz="4" w:space="0" w:color="auto"/>
              <w:left w:val="single" w:sz="4" w:space="0" w:color="auto"/>
              <w:bottom w:val="single" w:sz="4" w:space="0" w:color="auto"/>
              <w:right w:val="single" w:sz="4" w:space="0" w:color="auto"/>
            </w:tcBorders>
            <w:hideMark/>
          </w:tcPr>
          <w:p w:rsidR="00467B07" w:rsidRPr="00BA5143" w:rsidRDefault="00467B07">
            <w:pPr>
              <w:spacing w:line="200" w:lineRule="exact"/>
              <w:jc w:val="center"/>
              <w:rPr>
                <w:sz w:val="20"/>
                <w:lang w:val="en-US"/>
              </w:rPr>
            </w:pPr>
            <w:r w:rsidRPr="00BA5143">
              <w:rPr>
                <w:sz w:val="20"/>
                <w:lang w:val="en-US"/>
              </w:rPr>
              <w:t>4</w:t>
            </w:r>
          </w:p>
        </w:tc>
        <w:tc>
          <w:tcPr>
            <w:tcW w:w="5386"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Total debt securities, which are accounted for at amortized cost</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lang w:val="en-US"/>
              </w:rPr>
            </w:pPr>
            <w:r w:rsidRPr="00BA5143">
              <w:rPr>
                <w:sz w:val="20"/>
                <w:lang w:val="en-US"/>
              </w:rPr>
              <w:t>128 629</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21 091</w:t>
            </w:r>
          </w:p>
        </w:tc>
        <w:tc>
          <w:tcPr>
            <w:tcW w:w="1134"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r>
    </w:tbl>
    <w:p w:rsidR="00956E56" w:rsidRPr="00BA5143" w:rsidRDefault="00956E56" w:rsidP="002A3E55">
      <w:pPr>
        <w:jc w:val="center"/>
        <w:rPr>
          <w:color w:val="000000"/>
          <w:lang w:val="en-US"/>
        </w:rPr>
      </w:pPr>
    </w:p>
    <w:p w:rsidR="00467B07" w:rsidRPr="00BA5143" w:rsidRDefault="00467B07" w:rsidP="00467B07">
      <w:pPr>
        <w:rPr>
          <w:spacing w:val="-4"/>
          <w:lang w:val="en-US"/>
        </w:rPr>
      </w:pPr>
      <w:r w:rsidRPr="00BA5143">
        <w:rPr>
          <w:b/>
          <w:spacing w:val="-4"/>
          <w:lang w:val="en-US"/>
        </w:rPr>
        <w:t>Table 7.4. Analysis of changes in the gross carrying amount of investments in securities that are accounted for at amortized cost</w:t>
      </w:r>
      <w:r w:rsidRPr="00BA5143">
        <w:rPr>
          <w:spacing w:val="-4"/>
          <w:lang w:val="en-US"/>
        </w:rPr>
        <w:t xml:space="preserve">                                                                                                                  </w:t>
      </w:r>
    </w:p>
    <w:p w:rsidR="00467B07" w:rsidRPr="00BA5143" w:rsidRDefault="00467B07" w:rsidP="00467B07">
      <w:pPr>
        <w:jc w:val="right"/>
        <w:rPr>
          <w:lang w:val="en-US"/>
        </w:rPr>
      </w:pPr>
      <w:r w:rsidRPr="00BA5143">
        <w:rPr>
          <w:lang w:val="en-US"/>
        </w:rPr>
        <w:t>(ths. UAH.)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692"/>
        <w:gridCol w:w="1558"/>
        <w:gridCol w:w="1417"/>
      </w:tblGrid>
      <w:tr w:rsidR="00467B07" w:rsidRPr="00BA5143" w:rsidTr="00467B07">
        <w:tc>
          <w:tcPr>
            <w:tcW w:w="648" w:type="dxa"/>
            <w:tcBorders>
              <w:top w:val="single" w:sz="4" w:space="0" w:color="auto"/>
              <w:left w:val="single" w:sz="4" w:space="0" w:color="auto"/>
              <w:bottom w:val="single" w:sz="4" w:space="0" w:color="auto"/>
              <w:right w:val="single" w:sz="4" w:space="0" w:color="auto"/>
            </w:tcBorders>
          </w:tcPr>
          <w:p w:rsidR="00467B07" w:rsidRPr="00BA5143" w:rsidRDefault="00467B07">
            <w:pPr>
              <w:jc w:val="center"/>
              <w:rPr>
                <w:sz w:val="20"/>
                <w:szCs w:val="20"/>
                <w:lang w:val="en-US"/>
              </w:rPr>
            </w:pPr>
          </w:p>
        </w:tc>
        <w:tc>
          <w:tcPr>
            <w:tcW w:w="5697"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 xml:space="preserve">2018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67B07" w:rsidRPr="00BA5143" w:rsidRDefault="00467B07">
            <w:pPr>
              <w:spacing w:line="200" w:lineRule="exact"/>
              <w:jc w:val="center"/>
              <w:rPr>
                <w:sz w:val="20"/>
                <w:lang w:val="en-US"/>
              </w:rPr>
            </w:pPr>
            <w:r w:rsidRPr="00BA5143">
              <w:rPr>
                <w:sz w:val="20"/>
                <w:lang w:val="en-US"/>
              </w:rPr>
              <w:t xml:space="preserve">2017 </w:t>
            </w:r>
          </w:p>
        </w:tc>
      </w:tr>
      <w:tr w:rsidR="00467B07" w:rsidRPr="00BA5143" w:rsidTr="00467B07">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4</w:t>
            </w:r>
          </w:p>
        </w:tc>
      </w:tr>
      <w:tr w:rsidR="00467B07" w:rsidRPr="00BA5143" w:rsidTr="00467B07">
        <w:trPr>
          <w:trHeight w:val="164"/>
        </w:trPr>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1</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Gross value at the beginning of the period</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59 969</w:t>
            </w:r>
          </w:p>
        </w:tc>
      </w:tr>
      <w:tr w:rsidR="00467B07" w:rsidRPr="00BA5143" w:rsidTr="00467B07">
        <w:trPr>
          <w:trHeight w:val="164"/>
        </w:trPr>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2</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Acquired / initiated financial assets</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2 310 991</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1 269 428</w:t>
            </w:r>
          </w:p>
        </w:tc>
      </w:tr>
      <w:tr w:rsidR="00467B07" w:rsidRPr="00BA5143" w:rsidTr="00467B07">
        <w:trPr>
          <w:trHeight w:val="164"/>
        </w:trPr>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lastRenderedPageBreak/>
              <w:t>3</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Financial assets whose recognition has been canceled or canceled (except write-offs)</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(2 295 499)</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(1 184 445)</w:t>
            </w:r>
          </w:p>
        </w:tc>
      </w:tr>
      <w:tr w:rsidR="00467B07" w:rsidRPr="00BA5143" w:rsidTr="00467B07">
        <w:trPr>
          <w:trHeight w:val="164"/>
        </w:trPr>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4</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Other changes</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3 831</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 xml:space="preserve">4 768 </w:t>
            </w:r>
          </w:p>
        </w:tc>
      </w:tr>
      <w:tr w:rsidR="00467B07" w:rsidRPr="00BA5143" w:rsidTr="00467B07">
        <w:trPr>
          <w:trHeight w:val="164"/>
        </w:trPr>
        <w:tc>
          <w:tcPr>
            <w:tcW w:w="64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center"/>
              <w:rPr>
                <w:sz w:val="20"/>
                <w:szCs w:val="20"/>
                <w:lang w:val="en-US"/>
              </w:rPr>
            </w:pPr>
            <w:r w:rsidRPr="00BA5143">
              <w:rPr>
                <w:sz w:val="20"/>
                <w:szCs w:val="20"/>
                <w:lang w:val="en-US"/>
              </w:rPr>
              <w:t>5</w:t>
            </w:r>
          </w:p>
        </w:tc>
        <w:tc>
          <w:tcPr>
            <w:tcW w:w="5697" w:type="dxa"/>
            <w:tcBorders>
              <w:top w:val="single" w:sz="4" w:space="0" w:color="auto"/>
              <w:left w:val="single" w:sz="4" w:space="0" w:color="auto"/>
              <w:bottom w:val="single" w:sz="4" w:space="0" w:color="auto"/>
              <w:right w:val="single" w:sz="4" w:space="0" w:color="auto"/>
            </w:tcBorders>
            <w:hideMark/>
          </w:tcPr>
          <w:p w:rsidR="00467B07" w:rsidRPr="00BA5143" w:rsidRDefault="00467B07">
            <w:pPr>
              <w:rPr>
                <w:sz w:val="20"/>
                <w:szCs w:val="20"/>
                <w:lang w:val="en-US"/>
              </w:rPr>
            </w:pPr>
            <w:r w:rsidRPr="00BA5143">
              <w:rPr>
                <w:sz w:val="20"/>
                <w:szCs w:val="20"/>
                <w:lang w:val="en-US"/>
              </w:rPr>
              <w:t>Gross Balance Sheet at the end of the period</w:t>
            </w:r>
          </w:p>
        </w:tc>
        <w:tc>
          <w:tcPr>
            <w:tcW w:w="1559"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lang w:val="en-US"/>
              </w:rPr>
              <w:t>169 043</w:t>
            </w:r>
          </w:p>
        </w:tc>
        <w:tc>
          <w:tcPr>
            <w:tcW w:w="1418" w:type="dxa"/>
            <w:tcBorders>
              <w:top w:val="single" w:sz="4" w:space="0" w:color="auto"/>
              <w:left w:val="single" w:sz="4" w:space="0" w:color="auto"/>
              <w:bottom w:val="single" w:sz="4" w:space="0" w:color="auto"/>
              <w:right w:val="single" w:sz="4" w:space="0" w:color="auto"/>
            </w:tcBorders>
            <w:hideMark/>
          </w:tcPr>
          <w:p w:rsidR="00467B07" w:rsidRPr="00BA5143" w:rsidRDefault="00467B07">
            <w:pPr>
              <w:jc w:val="right"/>
              <w:rPr>
                <w:sz w:val="20"/>
                <w:szCs w:val="20"/>
                <w:lang w:val="en-US"/>
              </w:rPr>
            </w:pPr>
            <w:r w:rsidRPr="00BA5143">
              <w:rPr>
                <w:sz w:val="20"/>
                <w:szCs w:val="20"/>
                <w:lang w:val="en-US"/>
              </w:rPr>
              <w:t>149 720</w:t>
            </w:r>
          </w:p>
        </w:tc>
      </w:tr>
    </w:tbl>
    <w:p w:rsidR="00467B07" w:rsidRPr="00BA5143" w:rsidRDefault="00467B07" w:rsidP="008F75ED">
      <w:pPr>
        <w:ind w:firstLine="567"/>
        <w:rPr>
          <w:b/>
          <w:lang w:val="en-US"/>
        </w:rPr>
      </w:pPr>
    </w:p>
    <w:p w:rsidR="00B75987" w:rsidRPr="00BA5143" w:rsidRDefault="00467B07" w:rsidP="008F75ED">
      <w:pPr>
        <w:ind w:firstLine="567"/>
        <w:jc w:val="both"/>
        <w:rPr>
          <w:b/>
          <w:lang w:val="en-US"/>
        </w:rPr>
      </w:pPr>
      <w:r w:rsidRPr="00BA5143">
        <w:rPr>
          <w:b/>
          <w:lang w:val="en-US"/>
        </w:rPr>
        <w:t>NOTE 8. INVESTMENT PROPERTY</w:t>
      </w:r>
    </w:p>
    <w:p w:rsidR="0017715C" w:rsidRPr="00BA5143" w:rsidRDefault="0017715C" w:rsidP="0017715C">
      <w:pPr>
        <w:ind w:left="540"/>
        <w:rPr>
          <w:b/>
          <w:lang w:val="en-US"/>
        </w:rPr>
      </w:pPr>
      <w:r w:rsidRPr="00BA5143">
        <w:rPr>
          <w:b/>
          <w:lang w:val="en-US"/>
        </w:rPr>
        <w:t>Table 8.1. Investment property is measured at cost method for 2018:</w:t>
      </w:r>
    </w:p>
    <w:p w:rsidR="0017715C" w:rsidRPr="00BA5143" w:rsidRDefault="0017715C" w:rsidP="0017715C">
      <w:pPr>
        <w:ind w:left="540"/>
        <w:jc w:val="right"/>
        <w:rPr>
          <w:sz w:val="20"/>
          <w:szCs w:val="20"/>
          <w:lang w:val="en-US"/>
        </w:rPr>
      </w:pPr>
      <w:r w:rsidRPr="00BA5143">
        <w:rPr>
          <w:sz w:val="20"/>
          <w:szCs w:val="20"/>
          <w:lang w:val="en-US"/>
        </w:rPr>
        <w:t>ths. UAH.</w:t>
      </w:r>
    </w:p>
    <w:tbl>
      <w:tblPr>
        <w:tblW w:w="9214" w:type="dxa"/>
        <w:tblInd w:w="108" w:type="dxa"/>
        <w:tblLook w:val="04A0"/>
      </w:tblPr>
      <w:tblGrid>
        <w:gridCol w:w="900"/>
        <w:gridCol w:w="4178"/>
        <w:gridCol w:w="1443"/>
        <w:gridCol w:w="1417"/>
        <w:gridCol w:w="1276"/>
      </w:tblGrid>
      <w:tr w:rsidR="0017715C" w:rsidRPr="00BA5143" w:rsidTr="0017715C">
        <w:trPr>
          <w:trHeight w:val="510"/>
        </w:trPr>
        <w:tc>
          <w:tcPr>
            <w:tcW w:w="900" w:type="dxa"/>
            <w:tcBorders>
              <w:top w:val="single" w:sz="8" w:space="0" w:color="auto"/>
              <w:left w:val="single" w:sz="4"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Line </w:t>
            </w:r>
          </w:p>
        </w:tc>
        <w:tc>
          <w:tcPr>
            <w:tcW w:w="4178" w:type="dxa"/>
            <w:tcBorders>
              <w:top w:val="single" w:sz="8" w:space="0" w:color="auto"/>
              <w:left w:val="nil"/>
              <w:bottom w:val="single" w:sz="4" w:space="0" w:color="auto"/>
              <w:right w:val="single" w:sz="4" w:space="0" w:color="auto"/>
            </w:tcBorders>
            <w:vAlign w:val="center"/>
            <w:hideMark/>
          </w:tcPr>
          <w:p w:rsidR="0017715C" w:rsidRPr="00BA5143" w:rsidRDefault="0017715C">
            <w:pPr>
              <w:spacing w:line="200" w:lineRule="exact"/>
              <w:jc w:val="center"/>
              <w:rPr>
                <w:sz w:val="20"/>
                <w:lang w:val="en-US"/>
              </w:rPr>
            </w:pPr>
            <w:r w:rsidRPr="00BA5143">
              <w:rPr>
                <w:sz w:val="20"/>
                <w:lang w:val="en-US"/>
              </w:rPr>
              <w:t>Item</w:t>
            </w:r>
          </w:p>
        </w:tc>
        <w:tc>
          <w:tcPr>
            <w:tcW w:w="1443" w:type="dxa"/>
            <w:tcBorders>
              <w:top w:val="single" w:sz="8" w:space="0" w:color="auto"/>
              <w:left w:val="nil"/>
              <w:bottom w:val="single" w:sz="4" w:space="0" w:color="auto"/>
              <w:right w:val="single" w:sz="4" w:space="0" w:color="auto"/>
            </w:tcBorders>
            <w:hideMark/>
          </w:tcPr>
          <w:p w:rsidR="0017715C" w:rsidRPr="00BA5143" w:rsidRDefault="0017715C">
            <w:pPr>
              <w:rPr>
                <w:sz w:val="20"/>
                <w:lang w:val="en-US"/>
              </w:rPr>
            </w:pPr>
            <w:r w:rsidRPr="00BA5143">
              <w:rPr>
                <w:sz w:val="20"/>
                <w:lang w:val="en-US"/>
              </w:rPr>
              <w:t xml:space="preserve">Land </w:t>
            </w:r>
          </w:p>
        </w:tc>
        <w:tc>
          <w:tcPr>
            <w:tcW w:w="1417" w:type="dxa"/>
            <w:tcBorders>
              <w:top w:val="single" w:sz="8" w:space="0" w:color="auto"/>
              <w:left w:val="nil"/>
              <w:bottom w:val="single" w:sz="4" w:space="0" w:color="auto"/>
              <w:right w:val="single" w:sz="4" w:space="0" w:color="auto"/>
            </w:tcBorders>
            <w:hideMark/>
          </w:tcPr>
          <w:p w:rsidR="0017715C" w:rsidRPr="00BA5143" w:rsidRDefault="0017715C">
            <w:pPr>
              <w:rPr>
                <w:sz w:val="20"/>
                <w:lang w:val="en-US"/>
              </w:rPr>
            </w:pPr>
            <w:r w:rsidRPr="00BA5143">
              <w:rPr>
                <w:sz w:val="20"/>
                <w:lang w:val="en-US"/>
              </w:rPr>
              <w:t>Buildings</w:t>
            </w:r>
          </w:p>
        </w:tc>
        <w:tc>
          <w:tcPr>
            <w:tcW w:w="1276" w:type="dxa"/>
            <w:tcBorders>
              <w:top w:val="single" w:sz="8"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Total</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1 </w:t>
            </w:r>
          </w:p>
        </w:tc>
        <w:tc>
          <w:tcPr>
            <w:tcW w:w="4178"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2 </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3 </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4 </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7 </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Balance at the beginning of the year: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3 134</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27 808</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Initial value</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3 407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28 081</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1.2 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Wear and tear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(273)</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(273)</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2</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Amortization</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(47)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highlight w:val="yellow"/>
                <w:lang w:val="en-US"/>
              </w:rPr>
            </w:pPr>
            <w:r w:rsidRPr="00BA5143">
              <w:rPr>
                <w:sz w:val="20"/>
                <w:szCs w:val="20"/>
                <w:lang w:val="en-US"/>
              </w:rPr>
              <w:t>(47)</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Balance at the end of December 31</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3 087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27 761</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Initial value</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3 407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28 081</w:t>
            </w:r>
          </w:p>
        </w:tc>
      </w:tr>
      <w:tr w:rsidR="0017715C" w:rsidRPr="00BA5143" w:rsidTr="0017715C">
        <w:trPr>
          <w:trHeight w:val="58"/>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3.2 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Wear and tear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(320)</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(320)</w:t>
            </w:r>
          </w:p>
        </w:tc>
      </w:tr>
    </w:tbl>
    <w:p w:rsidR="00FB78BD" w:rsidRPr="00BA5143" w:rsidRDefault="00FB78BD" w:rsidP="00FB78BD">
      <w:pPr>
        <w:ind w:firstLine="567"/>
        <w:jc w:val="both"/>
        <w:rPr>
          <w:sz w:val="20"/>
          <w:szCs w:val="20"/>
          <w:lang w:val="en-US"/>
        </w:rPr>
      </w:pPr>
      <w:r w:rsidRPr="00BA5143">
        <w:rPr>
          <w:sz w:val="20"/>
          <w:szCs w:val="20"/>
          <w:lang w:val="en-US"/>
        </w:rPr>
        <w:t>As part of investment property, the Bank recognizes the following objects:</w:t>
      </w:r>
    </w:p>
    <w:p w:rsidR="00FB78BD" w:rsidRPr="00BA5143" w:rsidRDefault="00FB78BD" w:rsidP="00FB78BD">
      <w:pPr>
        <w:ind w:firstLine="567"/>
        <w:jc w:val="both"/>
        <w:rPr>
          <w:sz w:val="20"/>
          <w:szCs w:val="20"/>
          <w:lang w:val="en-US"/>
        </w:rPr>
      </w:pPr>
      <w:r w:rsidRPr="00BA5143">
        <w:rPr>
          <w:sz w:val="20"/>
          <w:szCs w:val="20"/>
          <w:lang w:val="en-US"/>
        </w:rPr>
        <w:t>- a land plot, the ownership of which was received on the basis of realization of the rights of the mortgagee and which was not implemented during the year. According to the current legislation of Ukraine, land plots are not subject to depreciation;</w:t>
      </w:r>
    </w:p>
    <w:p w:rsidR="00FB78BD" w:rsidRPr="00BA5143" w:rsidRDefault="00FB78BD" w:rsidP="00FB78BD">
      <w:pPr>
        <w:ind w:firstLine="567"/>
        <w:jc w:val="both"/>
        <w:rPr>
          <w:sz w:val="20"/>
          <w:szCs w:val="20"/>
          <w:lang w:val="en-US"/>
        </w:rPr>
      </w:pPr>
      <w:r w:rsidRPr="00BA5143">
        <w:rPr>
          <w:sz w:val="20"/>
          <w:szCs w:val="20"/>
          <w:lang w:val="en-US"/>
        </w:rPr>
        <w:t>- a complex, non-residential buildings, the ownership of which the Bank received on the basis of realization of the rights of the mortgagee in previous reporting periods. By the recognition of investment property, this object was accounted for as long-term assets held for sale, but provided that it was not implemented within the period allowed for its implementation, it was decided to classify this object as part of investment property on the basis of the cost method with the simultaneous recognition of accumulated depreciation. The complex of non-residential buildings is subject to depreciation on a straight-line basis in accordance with the term of useful life specified by this object - 75 years.</w:t>
      </w:r>
    </w:p>
    <w:p w:rsidR="00FB78BD" w:rsidRPr="00BA5143" w:rsidRDefault="00FB78BD" w:rsidP="00FB78BD">
      <w:pPr>
        <w:ind w:firstLine="567"/>
        <w:jc w:val="both"/>
        <w:rPr>
          <w:sz w:val="20"/>
          <w:szCs w:val="20"/>
          <w:lang w:val="en-US"/>
        </w:rPr>
      </w:pPr>
      <w:r w:rsidRPr="00BA5143">
        <w:rPr>
          <w:sz w:val="20"/>
          <w:szCs w:val="20"/>
          <w:lang w:val="en-US"/>
        </w:rPr>
        <w:t>Given the uncertainty about financial stability, transactions with similar real estate are almost non-existent, which makes it impossible to accurately determine the fair value of these objects of real estate. Therefore, the above-mentioned objects of investment property are accounted for as investment property under the cost method.</w:t>
      </w:r>
    </w:p>
    <w:p w:rsidR="00287007" w:rsidRPr="00BA5143" w:rsidRDefault="00FB78BD" w:rsidP="00FB78BD">
      <w:pPr>
        <w:ind w:firstLine="567"/>
        <w:jc w:val="both"/>
        <w:rPr>
          <w:sz w:val="20"/>
          <w:szCs w:val="20"/>
          <w:lang w:val="en-US"/>
        </w:rPr>
      </w:pPr>
      <w:r w:rsidRPr="00BA5143">
        <w:rPr>
          <w:sz w:val="20"/>
          <w:szCs w:val="20"/>
          <w:lang w:val="en-US"/>
        </w:rPr>
        <w:t>Provided that from the date of the last valuation (as of 01.01.2018) there were no events that could lead to a significant fluctuation of real estate prices, the book value of the property of the Bank belonging to investment property corresponds to the range of assessments in which the most the fair value of such property is likely to be.</w:t>
      </w:r>
    </w:p>
    <w:p w:rsidR="00FB78BD" w:rsidRPr="00BA5143" w:rsidRDefault="00FB78BD" w:rsidP="00FB78BD">
      <w:pPr>
        <w:jc w:val="both"/>
        <w:rPr>
          <w:b/>
          <w:highlight w:val="yellow"/>
          <w:lang w:val="en-US"/>
        </w:rPr>
      </w:pPr>
    </w:p>
    <w:p w:rsidR="0017715C" w:rsidRPr="00BA5143" w:rsidRDefault="0017715C" w:rsidP="0017715C">
      <w:pPr>
        <w:ind w:left="540"/>
        <w:rPr>
          <w:b/>
          <w:lang w:val="en-US"/>
        </w:rPr>
      </w:pPr>
      <w:r w:rsidRPr="00BA5143">
        <w:rPr>
          <w:b/>
          <w:lang w:val="en-US"/>
        </w:rPr>
        <w:t>Table 8.1. Investment property is measured at cost method for 2017:</w:t>
      </w:r>
    </w:p>
    <w:p w:rsidR="0017715C" w:rsidRPr="00BA5143" w:rsidRDefault="0017715C" w:rsidP="0017715C">
      <w:pPr>
        <w:ind w:left="540"/>
        <w:jc w:val="right"/>
        <w:rPr>
          <w:sz w:val="20"/>
          <w:szCs w:val="20"/>
          <w:lang w:val="en-US"/>
        </w:rPr>
      </w:pPr>
      <w:r w:rsidRPr="00BA5143">
        <w:rPr>
          <w:sz w:val="20"/>
          <w:szCs w:val="20"/>
          <w:lang w:val="en-US"/>
        </w:rPr>
        <w:t>ths. UAH.</w:t>
      </w:r>
    </w:p>
    <w:tbl>
      <w:tblPr>
        <w:tblW w:w="9214" w:type="dxa"/>
        <w:tblInd w:w="108" w:type="dxa"/>
        <w:tblLook w:val="04A0"/>
      </w:tblPr>
      <w:tblGrid>
        <w:gridCol w:w="900"/>
        <w:gridCol w:w="4178"/>
        <w:gridCol w:w="1443"/>
        <w:gridCol w:w="1417"/>
        <w:gridCol w:w="1276"/>
      </w:tblGrid>
      <w:tr w:rsidR="0017715C" w:rsidRPr="00BA5143" w:rsidTr="0017715C">
        <w:trPr>
          <w:trHeight w:val="510"/>
        </w:trPr>
        <w:tc>
          <w:tcPr>
            <w:tcW w:w="900" w:type="dxa"/>
            <w:tcBorders>
              <w:top w:val="single" w:sz="8" w:space="0" w:color="auto"/>
              <w:left w:val="single" w:sz="4"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Line</w:t>
            </w:r>
          </w:p>
        </w:tc>
        <w:tc>
          <w:tcPr>
            <w:tcW w:w="4178" w:type="dxa"/>
            <w:tcBorders>
              <w:top w:val="single" w:sz="8" w:space="0" w:color="auto"/>
              <w:left w:val="nil"/>
              <w:bottom w:val="single" w:sz="4" w:space="0" w:color="auto"/>
              <w:right w:val="single" w:sz="4" w:space="0" w:color="auto"/>
            </w:tcBorders>
            <w:vAlign w:val="center"/>
            <w:hideMark/>
          </w:tcPr>
          <w:p w:rsidR="0017715C" w:rsidRPr="00BA5143" w:rsidRDefault="0017715C">
            <w:pPr>
              <w:spacing w:line="200" w:lineRule="exact"/>
              <w:jc w:val="center"/>
              <w:rPr>
                <w:sz w:val="20"/>
                <w:lang w:val="en-US"/>
              </w:rPr>
            </w:pPr>
            <w:r w:rsidRPr="00BA5143">
              <w:rPr>
                <w:sz w:val="20"/>
                <w:lang w:val="en-US"/>
              </w:rPr>
              <w:t>Item</w:t>
            </w:r>
          </w:p>
        </w:tc>
        <w:tc>
          <w:tcPr>
            <w:tcW w:w="1443" w:type="dxa"/>
            <w:tcBorders>
              <w:top w:val="single" w:sz="8" w:space="0" w:color="auto"/>
              <w:left w:val="nil"/>
              <w:bottom w:val="single" w:sz="4" w:space="0" w:color="auto"/>
              <w:right w:val="single" w:sz="4" w:space="0" w:color="auto"/>
            </w:tcBorders>
            <w:hideMark/>
          </w:tcPr>
          <w:p w:rsidR="0017715C" w:rsidRPr="00BA5143" w:rsidRDefault="0017715C">
            <w:pPr>
              <w:rPr>
                <w:sz w:val="20"/>
                <w:lang w:val="en-US"/>
              </w:rPr>
            </w:pPr>
            <w:r w:rsidRPr="00BA5143">
              <w:rPr>
                <w:sz w:val="20"/>
                <w:lang w:val="en-US"/>
              </w:rPr>
              <w:t xml:space="preserve">Land </w:t>
            </w:r>
          </w:p>
        </w:tc>
        <w:tc>
          <w:tcPr>
            <w:tcW w:w="1417" w:type="dxa"/>
            <w:tcBorders>
              <w:top w:val="single" w:sz="8" w:space="0" w:color="auto"/>
              <w:left w:val="nil"/>
              <w:bottom w:val="single" w:sz="4" w:space="0" w:color="auto"/>
              <w:right w:val="single" w:sz="4" w:space="0" w:color="auto"/>
            </w:tcBorders>
            <w:hideMark/>
          </w:tcPr>
          <w:p w:rsidR="0017715C" w:rsidRPr="00BA5143" w:rsidRDefault="0017715C">
            <w:pPr>
              <w:rPr>
                <w:sz w:val="20"/>
                <w:lang w:val="en-US"/>
              </w:rPr>
            </w:pPr>
            <w:r w:rsidRPr="00BA5143">
              <w:rPr>
                <w:sz w:val="20"/>
                <w:lang w:val="en-US"/>
              </w:rPr>
              <w:t>Buildings</w:t>
            </w:r>
          </w:p>
        </w:tc>
        <w:tc>
          <w:tcPr>
            <w:tcW w:w="1276" w:type="dxa"/>
            <w:tcBorders>
              <w:top w:val="single" w:sz="8"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Total</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1 </w:t>
            </w:r>
          </w:p>
        </w:tc>
        <w:tc>
          <w:tcPr>
            <w:tcW w:w="4178"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2 </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3 </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4 </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7 </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Balance at the beginning of the year: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3 181</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27 855</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Initial value</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3 407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28 081</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1.2 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Wear and tear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(226)</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(226)</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2</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Amortization</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(47)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(47)</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Balance at the end of December 31st</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3 134</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27 808</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3.1 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Initial value</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24 674</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3 407</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28 081</w:t>
            </w:r>
          </w:p>
        </w:tc>
      </w:tr>
      <w:tr w:rsidR="0017715C" w:rsidRPr="00BA5143" w:rsidTr="0017715C">
        <w:trPr>
          <w:trHeight w:val="255"/>
        </w:trPr>
        <w:tc>
          <w:tcPr>
            <w:tcW w:w="900" w:type="dxa"/>
            <w:tcBorders>
              <w:top w:val="nil"/>
              <w:left w:val="single" w:sz="4" w:space="0" w:color="auto"/>
              <w:bottom w:val="single" w:sz="4" w:space="0" w:color="auto"/>
              <w:right w:val="single" w:sz="4" w:space="0" w:color="auto"/>
            </w:tcBorders>
            <w:vAlign w:val="bottom"/>
            <w:hideMark/>
          </w:tcPr>
          <w:p w:rsidR="0017715C" w:rsidRPr="00BA5143" w:rsidRDefault="0017715C">
            <w:pPr>
              <w:jc w:val="center"/>
              <w:rPr>
                <w:sz w:val="20"/>
                <w:szCs w:val="20"/>
                <w:lang w:val="en-US"/>
              </w:rPr>
            </w:pPr>
            <w:r w:rsidRPr="00BA5143">
              <w:rPr>
                <w:sz w:val="20"/>
                <w:szCs w:val="20"/>
                <w:lang w:val="en-US"/>
              </w:rPr>
              <w:t>3.2 </w:t>
            </w:r>
          </w:p>
        </w:tc>
        <w:tc>
          <w:tcPr>
            <w:tcW w:w="4178" w:type="dxa"/>
            <w:tcBorders>
              <w:top w:val="nil"/>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Wear and tear</w:t>
            </w:r>
          </w:p>
        </w:tc>
        <w:tc>
          <w:tcPr>
            <w:tcW w:w="1443"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w:t>
            </w:r>
          </w:p>
        </w:tc>
        <w:tc>
          <w:tcPr>
            <w:tcW w:w="1417"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(273)</w:t>
            </w:r>
          </w:p>
        </w:tc>
        <w:tc>
          <w:tcPr>
            <w:tcW w:w="1276" w:type="dxa"/>
            <w:tcBorders>
              <w:top w:val="nil"/>
              <w:left w:val="nil"/>
              <w:bottom w:val="single" w:sz="4" w:space="0" w:color="auto"/>
              <w:right w:val="single" w:sz="4" w:space="0" w:color="auto"/>
            </w:tcBorders>
            <w:vAlign w:val="bottom"/>
            <w:hideMark/>
          </w:tcPr>
          <w:p w:rsidR="0017715C" w:rsidRPr="00BA5143" w:rsidRDefault="0017715C">
            <w:pPr>
              <w:jc w:val="right"/>
              <w:rPr>
                <w:sz w:val="20"/>
                <w:szCs w:val="20"/>
                <w:lang w:val="en-US"/>
              </w:rPr>
            </w:pPr>
            <w:r w:rsidRPr="00BA5143">
              <w:rPr>
                <w:sz w:val="20"/>
                <w:szCs w:val="20"/>
                <w:lang w:val="en-US"/>
              </w:rPr>
              <w:t>(273)</w:t>
            </w:r>
          </w:p>
        </w:tc>
      </w:tr>
    </w:tbl>
    <w:p w:rsidR="00D8757A" w:rsidRPr="00BA5143" w:rsidRDefault="00D8757A" w:rsidP="00D8757A">
      <w:pPr>
        <w:jc w:val="both"/>
        <w:rPr>
          <w:b/>
          <w:highlight w:val="yellow"/>
          <w:lang w:val="en-US"/>
        </w:rPr>
      </w:pPr>
    </w:p>
    <w:p w:rsidR="0017715C" w:rsidRPr="00BA5143" w:rsidRDefault="0017715C" w:rsidP="0017715C">
      <w:pPr>
        <w:ind w:left="284"/>
        <w:rPr>
          <w:sz w:val="20"/>
          <w:szCs w:val="20"/>
          <w:lang w:val="en-US"/>
        </w:rPr>
      </w:pPr>
      <w:r w:rsidRPr="00BA5143">
        <w:rPr>
          <w:b/>
          <w:lang w:val="en-US"/>
        </w:rPr>
        <w:t>Table 8.3. Amounts recognized in the Profit and Loss Statement and other comprehensive income</w:t>
      </w:r>
      <w:r w:rsidRPr="00BA5143">
        <w:rPr>
          <w:sz w:val="20"/>
          <w:szCs w:val="20"/>
          <w:lang w:val="en-US"/>
        </w:rPr>
        <w:t xml:space="preserve">                                                                                                                    </w:t>
      </w:r>
    </w:p>
    <w:p w:rsidR="0017715C" w:rsidRPr="00BA5143" w:rsidRDefault="0017715C" w:rsidP="0017715C">
      <w:pPr>
        <w:ind w:left="284"/>
        <w:jc w:val="right"/>
        <w:rPr>
          <w:lang w:val="en-US"/>
        </w:rPr>
      </w:pPr>
      <w:r w:rsidRPr="00BA5143">
        <w:rPr>
          <w:sz w:val="20"/>
          <w:szCs w:val="20"/>
          <w:lang w:val="en-US"/>
        </w:rPr>
        <w:t xml:space="preserve"> (ths. UAH.)</w:t>
      </w:r>
    </w:p>
    <w:tbl>
      <w:tblPr>
        <w:tblW w:w="8230" w:type="dxa"/>
        <w:tblInd w:w="98" w:type="dxa"/>
        <w:tblLook w:val="04A0"/>
      </w:tblPr>
      <w:tblGrid>
        <w:gridCol w:w="960"/>
        <w:gridCol w:w="5350"/>
        <w:gridCol w:w="960"/>
        <w:gridCol w:w="960"/>
      </w:tblGrid>
      <w:tr w:rsidR="0017715C" w:rsidRPr="00BA5143" w:rsidTr="0017715C">
        <w:trPr>
          <w:trHeight w:val="255"/>
        </w:trPr>
        <w:tc>
          <w:tcPr>
            <w:tcW w:w="960" w:type="dxa"/>
            <w:tcBorders>
              <w:top w:val="single" w:sz="8" w:space="0" w:color="auto"/>
              <w:left w:val="single" w:sz="8"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Line</w:t>
            </w:r>
          </w:p>
        </w:tc>
        <w:tc>
          <w:tcPr>
            <w:tcW w:w="5350" w:type="dxa"/>
            <w:tcBorders>
              <w:top w:val="single" w:sz="8"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Amounts of income and expenses</w:t>
            </w:r>
          </w:p>
        </w:tc>
        <w:tc>
          <w:tcPr>
            <w:tcW w:w="960" w:type="dxa"/>
            <w:tcBorders>
              <w:top w:val="single" w:sz="8"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2018</w:t>
            </w:r>
          </w:p>
        </w:tc>
        <w:tc>
          <w:tcPr>
            <w:tcW w:w="960" w:type="dxa"/>
            <w:tcBorders>
              <w:top w:val="single" w:sz="8"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2017</w:t>
            </w:r>
          </w:p>
        </w:tc>
      </w:tr>
      <w:tr w:rsidR="0017715C" w:rsidRPr="00BA5143" w:rsidTr="0017715C">
        <w:trPr>
          <w:trHeight w:val="255"/>
        </w:trPr>
        <w:tc>
          <w:tcPr>
            <w:tcW w:w="960" w:type="dxa"/>
            <w:tcBorders>
              <w:top w:val="nil"/>
              <w:left w:val="single" w:sz="8"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1 </w:t>
            </w:r>
          </w:p>
        </w:tc>
        <w:tc>
          <w:tcPr>
            <w:tcW w:w="5350" w:type="dxa"/>
            <w:tcBorders>
              <w:top w:val="single" w:sz="4" w:space="0" w:color="auto"/>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2 </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3</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4</w:t>
            </w:r>
          </w:p>
        </w:tc>
      </w:tr>
      <w:tr w:rsidR="0017715C" w:rsidRPr="00BA5143" w:rsidTr="0017715C">
        <w:trPr>
          <w:trHeight w:val="255"/>
        </w:trPr>
        <w:tc>
          <w:tcPr>
            <w:tcW w:w="960" w:type="dxa"/>
            <w:tcBorders>
              <w:top w:val="nil"/>
              <w:left w:val="single" w:sz="8"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1 </w:t>
            </w:r>
          </w:p>
        </w:tc>
        <w:tc>
          <w:tcPr>
            <w:tcW w:w="5350" w:type="dxa"/>
            <w:tcBorders>
              <w:top w:val="single" w:sz="4" w:space="0" w:color="auto"/>
              <w:left w:val="nil"/>
              <w:bottom w:val="single" w:sz="4" w:space="0" w:color="auto"/>
              <w:right w:val="single" w:sz="4" w:space="0" w:color="auto"/>
            </w:tcBorders>
            <w:hideMark/>
          </w:tcPr>
          <w:p w:rsidR="0017715C" w:rsidRPr="00BA5143" w:rsidRDefault="0017715C">
            <w:pPr>
              <w:rPr>
                <w:sz w:val="20"/>
                <w:szCs w:val="20"/>
                <w:lang w:val="en-US"/>
              </w:rPr>
            </w:pPr>
            <w:r w:rsidRPr="00BA5143">
              <w:rPr>
                <w:sz w:val="20"/>
                <w:szCs w:val="20"/>
                <w:lang w:val="en-US"/>
              </w:rPr>
              <w:t>Income from lease of investment property</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right"/>
              <w:rPr>
                <w:sz w:val="20"/>
                <w:szCs w:val="20"/>
                <w:lang w:val="en-US"/>
              </w:rPr>
            </w:pPr>
            <w:r w:rsidRPr="00BA5143">
              <w:rPr>
                <w:sz w:val="20"/>
                <w:szCs w:val="20"/>
                <w:lang w:val="en-US"/>
              </w:rPr>
              <w:t>1</w:t>
            </w:r>
          </w:p>
        </w:tc>
      </w:tr>
      <w:tr w:rsidR="0017715C" w:rsidRPr="00BA5143" w:rsidTr="0017715C">
        <w:trPr>
          <w:trHeight w:val="525"/>
        </w:trPr>
        <w:tc>
          <w:tcPr>
            <w:tcW w:w="960" w:type="dxa"/>
            <w:tcBorders>
              <w:top w:val="nil"/>
              <w:left w:val="single" w:sz="8" w:space="0" w:color="auto"/>
              <w:bottom w:val="single" w:sz="4" w:space="0" w:color="auto"/>
              <w:right w:val="single" w:sz="4" w:space="0" w:color="auto"/>
            </w:tcBorders>
            <w:vAlign w:val="center"/>
            <w:hideMark/>
          </w:tcPr>
          <w:p w:rsidR="0017715C" w:rsidRPr="00BA5143" w:rsidRDefault="0017715C">
            <w:pPr>
              <w:jc w:val="center"/>
              <w:rPr>
                <w:sz w:val="20"/>
                <w:szCs w:val="20"/>
                <w:lang w:val="en-US"/>
              </w:rPr>
            </w:pPr>
            <w:r w:rsidRPr="00BA5143">
              <w:rPr>
                <w:sz w:val="20"/>
                <w:szCs w:val="20"/>
                <w:lang w:val="en-US"/>
              </w:rPr>
              <w:t>2</w:t>
            </w:r>
          </w:p>
        </w:tc>
        <w:tc>
          <w:tcPr>
            <w:tcW w:w="5350" w:type="dxa"/>
            <w:tcBorders>
              <w:top w:val="single" w:sz="4" w:space="0" w:color="auto"/>
              <w:left w:val="nil"/>
              <w:bottom w:val="single" w:sz="4" w:space="0" w:color="auto"/>
              <w:right w:val="single" w:sz="4" w:space="0" w:color="000000"/>
            </w:tcBorders>
            <w:hideMark/>
          </w:tcPr>
          <w:p w:rsidR="0017715C" w:rsidRPr="00BA5143" w:rsidRDefault="0017715C">
            <w:pPr>
              <w:rPr>
                <w:sz w:val="20"/>
                <w:szCs w:val="20"/>
                <w:lang w:val="en-US"/>
              </w:rPr>
            </w:pPr>
            <w:r w:rsidRPr="00BA5143">
              <w:rPr>
                <w:sz w:val="20"/>
                <w:szCs w:val="20"/>
                <w:lang w:val="en-US"/>
              </w:rPr>
              <w:t>Other direct costs that do not generate rental income</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right"/>
              <w:rPr>
                <w:sz w:val="20"/>
                <w:szCs w:val="20"/>
                <w:lang w:val="en-US"/>
              </w:rPr>
            </w:pPr>
            <w:r w:rsidRPr="00BA5143">
              <w:rPr>
                <w:sz w:val="20"/>
                <w:szCs w:val="20"/>
                <w:lang w:val="en-US"/>
              </w:rPr>
              <w:t>(162)</w:t>
            </w:r>
          </w:p>
        </w:tc>
        <w:tc>
          <w:tcPr>
            <w:tcW w:w="960" w:type="dxa"/>
            <w:tcBorders>
              <w:top w:val="nil"/>
              <w:left w:val="nil"/>
              <w:bottom w:val="single" w:sz="4" w:space="0" w:color="auto"/>
              <w:right w:val="single" w:sz="4" w:space="0" w:color="auto"/>
            </w:tcBorders>
            <w:vAlign w:val="center"/>
            <w:hideMark/>
          </w:tcPr>
          <w:p w:rsidR="0017715C" w:rsidRPr="00BA5143" w:rsidRDefault="0017715C">
            <w:pPr>
              <w:jc w:val="right"/>
              <w:rPr>
                <w:sz w:val="20"/>
                <w:szCs w:val="20"/>
                <w:lang w:val="en-US"/>
              </w:rPr>
            </w:pPr>
            <w:r w:rsidRPr="00BA5143">
              <w:rPr>
                <w:sz w:val="20"/>
                <w:szCs w:val="20"/>
                <w:lang w:val="en-US"/>
              </w:rPr>
              <w:t>(164)</w:t>
            </w:r>
          </w:p>
        </w:tc>
      </w:tr>
    </w:tbl>
    <w:p w:rsidR="00124DCA" w:rsidRPr="00BA5143" w:rsidRDefault="00124DCA" w:rsidP="006012B7">
      <w:pPr>
        <w:ind w:left="540"/>
        <w:jc w:val="both"/>
        <w:rPr>
          <w:lang w:val="en-US"/>
        </w:rPr>
      </w:pPr>
    </w:p>
    <w:p w:rsidR="007C298E" w:rsidRPr="00BA5143" w:rsidRDefault="00FB78BD" w:rsidP="00AB3B78">
      <w:pPr>
        <w:ind w:firstLine="567"/>
        <w:jc w:val="both"/>
        <w:rPr>
          <w:lang w:val="en-US"/>
        </w:rPr>
      </w:pPr>
      <w:r w:rsidRPr="00BA5143">
        <w:rPr>
          <w:lang w:val="en-US"/>
        </w:rPr>
        <w:t>Information on the minimum amounts of future lease payments for non-repayable operating leases, if the bank is a landlord, is not available. This is due to the fact that the bank does not have operating lease contracts for investment property on condition of non-repayment of their execution.</w:t>
      </w:r>
    </w:p>
    <w:p w:rsidR="00710C96" w:rsidRPr="00BA5143" w:rsidRDefault="00710C96" w:rsidP="006012B7">
      <w:pPr>
        <w:ind w:left="540"/>
        <w:jc w:val="both"/>
        <w:rPr>
          <w:highlight w:val="yellow"/>
          <w:lang w:val="en-US"/>
        </w:rPr>
      </w:pPr>
    </w:p>
    <w:p w:rsidR="00794437" w:rsidRPr="00BA5143" w:rsidRDefault="00093186" w:rsidP="00794437">
      <w:pPr>
        <w:spacing w:after="120"/>
        <w:rPr>
          <w:b/>
          <w:lang w:val="en-US"/>
        </w:rPr>
      </w:pPr>
      <w:r w:rsidRPr="00BA5143">
        <w:rPr>
          <w:b/>
          <w:lang w:val="en-US"/>
        </w:rPr>
        <w:t>NOTE</w:t>
      </w:r>
      <w:r w:rsidR="00794437" w:rsidRPr="00BA5143">
        <w:rPr>
          <w:b/>
          <w:lang w:val="en-US"/>
        </w:rPr>
        <w:t xml:space="preserve"> </w:t>
      </w:r>
      <w:r w:rsidR="005169D6" w:rsidRPr="00BA5143">
        <w:rPr>
          <w:b/>
          <w:lang w:val="en-US"/>
        </w:rPr>
        <w:t>9</w:t>
      </w:r>
      <w:r w:rsidR="00794437" w:rsidRPr="00BA5143">
        <w:rPr>
          <w:b/>
          <w:lang w:val="en-US"/>
        </w:rPr>
        <w:t xml:space="preserve">. </w:t>
      </w:r>
      <w:r w:rsidRPr="00BA5143">
        <w:rPr>
          <w:b/>
          <w:lang w:val="en-US"/>
        </w:rPr>
        <w:t>FIXED ASSETS</w:t>
      </w:r>
      <w:r w:rsidR="00794437" w:rsidRPr="00BA5143">
        <w:rPr>
          <w:b/>
          <w:lang w:val="en-US"/>
        </w:rPr>
        <w:t xml:space="preserve"> </w:t>
      </w:r>
      <w:r w:rsidRPr="00BA5143">
        <w:rPr>
          <w:b/>
          <w:lang w:val="en-US"/>
        </w:rPr>
        <w:t>AND INTANGIBLE ASSETS</w:t>
      </w:r>
    </w:p>
    <w:p w:rsidR="00794437" w:rsidRPr="00BA5143" w:rsidRDefault="00093186" w:rsidP="00794437">
      <w:pPr>
        <w:pStyle w:val="a4"/>
        <w:spacing w:before="120" w:beforeAutospacing="0" w:after="0" w:afterAutospacing="0"/>
        <w:jc w:val="both"/>
        <w:rPr>
          <w:b/>
          <w:lang w:val="en-US"/>
        </w:rPr>
      </w:pPr>
      <w:r w:rsidRPr="00BA5143">
        <w:rPr>
          <w:b/>
          <w:lang w:val="en-US"/>
        </w:rPr>
        <w:t>Table</w:t>
      </w:r>
      <w:r w:rsidR="00794437" w:rsidRPr="00BA5143">
        <w:rPr>
          <w:b/>
          <w:lang w:val="en-US"/>
        </w:rPr>
        <w:t xml:space="preserve"> </w:t>
      </w:r>
      <w:r w:rsidR="005169D6" w:rsidRPr="00BA5143">
        <w:rPr>
          <w:b/>
          <w:lang w:val="en-US"/>
        </w:rPr>
        <w:t>9</w:t>
      </w:r>
      <w:r w:rsidR="00794437" w:rsidRPr="00BA5143">
        <w:rPr>
          <w:b/>
          <w:lang w:val="en-US"/>
        </w:rPr>
        <w:t xml:space="preserve">.1. </w:t>
      </w:r>
      <w:r w:rsidRPr="00BA5143">
        <w:rPr>
          <w:b/>
          <w:lang w:val="en-US"/>
        </w:rPr>
        <w:t>Fixed assets and intangible assets</w:t>
      </w:r>
      <w:r w:rsidR="00794437" w:rsidRPr="00BA5143">
        <w:rPr>
          <w:b/>
          <w:lang w:val="en-US"/>
        </w:rPr>
        <w:t xml:space="preserve"> </w:t>
      </w:r>
    </w:p>
    <w:p w:rsidR="00093186" w:rsidRPr="00BA5143" w:rsidRDefault="00093186" w:rsidP="00093186">
      <w:pPr>
        <w:pStyle w:val="a4"/>
        <w:spacing w:before="0" w:beforeAutospacing="0" w:after="0" w:afterAutospacing="0"/>
        <w:jc w:val="right"/>
        <w:rPr>
          <w:lang w:val="en-US"/>
        </w:rPr>
      </w:pPr>
      <w:r w:rsidRPr="00BA5143">
        <w:rPr>
          <w:lang w:val="en-US"/>
        </w:rPr>
        <w:t>(ths. UAH.)</w:t>
      </w:r>
    </w:p>
    <w:tbl>
      <w:tblPr>
        <w:tblW w:w="11115" w:type="dxa"/>
        <w:tblInd w:w="-432" w:type="dxa"/>
        <w:tblLayout w:type="fixed"/>
        <w:tblLook w:val="00A0"/>
      </w:tblPr>
      <w:tblGrid>
        <w:gridCol w:w="569"/>
        <w:gridCol w:w="3803"/>
        <w:gridCol w:w="900"/>
        <w:gridCol w:w="801"/>
        <w:gridCol w:w="850"/>
        <w:gridCol w:w="590"/>
        <w:gridCol w:w="720"/>
        <w:gridCol w:w="720"/>
        <w:gridCol w:w="1081"/>
        <w:gridCol w:w="1081"/>
      </w:tblGrid>
      <w:tr w:rsidR="00093186" w:rsidRPr="00BA5143" w:rsidTr="00093186">
        <w:trPr>
          <w:gridAfter w:val="1"/>
          <w:wAfter w:w="1080" w:type="dxa"/>
          <w:trHeight w:val="1842"/>
        </w:trPr>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Line</w:t>
            </w:r>
          </w:p>
        </w:tc>
        <w:tc>
          <w:tcPr>
            <w:tcW w:w="3800" w:type="dxa"/>
            <w:tcBorders>
              <w:top w:val="single" w:sz="4" w:space="0" w:color="auto"/>
              <w:left w:val="nil"/>
              <w:bottom w:val="single" w:sz="4" w:space="0" w:color="auto"/>
              <w:right w:val="single" w:sz="4" w:space="0" w:color="auto"/>
            </w:tcBorders>
            <w:vAlign w:val="center"/>
            <w:hideMark/>
          </w:tcPr>
          <w:p w:rsidR="00093186" w:rsidRPr="00BA5143" w:rsidRDefault="00093186">
            <w:pPr>
              <w:spacing w:line="200" w:lineRule="exact"/>
              <w:jc w:val="center"/>
              <w:rPr>
                <w:sz w:val="20"/>
                <w:lang w:val="en-US"/>
              </w:rPr>
            </w:pPr>
            <w:r w:rsidRPr="00BA5143">
              <w:rPr>
                <w:sz w:val="20"/>
                <w:lang w:val="en-US"/>
              </w:rPr>
              <w:t>Item</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Buildings, constructions and transmission equipment</w:t>
            </w:r>
          </w:p>
        </w:tc>
        <w:tc>
          <w:tcPr>
            <w:tcW w:w="801" w:type="dxa"/>
            <w:tcBorders>
              <w:top w:val="single" w:sz="4" w:space="0" w:color="auto"/>
              <w:left w:val="nil"/>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Machinery and equipment</w:t>
            </w:r>
          </w:p>
        </w:tc>
        <w:tc>
          <w:tcPr>
            <w:tcW w:w="850" w:type="dxa"/>
            <w:tcBorders>
              <w:top w:val="single" w:sz="4" w:space="0" w:color="auto"/>
              <w:left w:val="nil"/>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Instruments, tools, equipment (hardware)</w:t>
            </w:r>
          </w:p>
        </w:tc>
        <w:tc>
          <w:tcPr>
            <w:tcW w:w="590" w:type="dxa"/>
            <w:tcBorders>
              <w:top w:val="single" w:sz="4" w:space="0" w:color="auto"/>
              <w:left w:val="nil"/>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Other fixed assets</w:t>
            </w:r>
          </w:p>
        </w:tc>
        <w:tc>
          <w:tcPr>
            <w:tcW w:w="720" w:type="dxa"/>
            <w:tcBorders>
              <w:top w:val="single" w:sz="4" w:space="0" w:color="auto"/>
              <w:left w:val="nil"/>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Other non-current tangible assets</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bCs/>
                <w:sz w:val="20"/>
                <w:lang w:val="en-US"/>
              </w:rPr>
              <w:t>Intangible assets</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093186" w:rsidRPr="00BA5143" w:rsidRDefault="00093186">
            <w:pPr>
              <w:spacing w:line="200" w:lineRule="exact"/>
              <w:jc w:val="center"/>
              <w:rPr>
                <w:bCs/>
                <w:sz w:val="20"/>
                <w:lang w:val="en-US"/>
              </w:rPr>
            </w:pPr>
            <w:r w:rsidRPr="00BA5143">
              <w:rPr>
                <w:sz w:val="20"/>
                <w:szCs w:val="20"/>
                <w:lang w:val="en-US"/>
              </w:rPr>
              <w:t>Total</w:t>
            </w:r>
          </w:p>
        </w:tc>
      </w:tr>
      <w:tr w:rsidR="00093186" w:rsidRPr="00BA5143" w:rsidTr="00093186">
        <w:trPr>
          <w:gridAfter w:val="1"/>
          <w:wAfter w:w="1080" w:type="dxa"/>
          <w:trHeight w:val="70"/>
        </w:trPr>
        <w:tc>
          <w:tcPr>
            <w:tcW w:w="568" w:type="dxa"/>
            <w:tcBorders>
              <w:top w:val="nil"/>
              <w:left w:val="single" w:sz="4" w:space="0" w:color="auto"/>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1</w:t>
            </w:r>
          </w:p>
        </w:tc>
        <w:tc>
          <w:tcPr>
            <w:tcW w:w="3800" w:type="dxa"/>
            <w:tcBorders>
              <w:top w:val="nil"/>
              <w:left w:val="nil"/>
              <w:bottom w:val="single" w:sz="4" w:space="0" w:color="auto"/>
              <w:right w:val="single" w:sz="4" w:space="0" w:color="auto"/>
            </w:tcBorders>
            <w:vAlign w:val="center"/>
            <w:hideMark/>
          </w:tcPr>
          <w:p w:rsidR="00093186" w:rsidRPr="00BA5143" w:rsidRDefault="00093186">
            <w:pPr>
              <w:spacing w:line="200" w:lineRule="exact"/>
              <w:jc w:val="center"/>
              <w:rPr>
                <w:bCs/>
                <w:sz w:val="20"/>
                <w:lang w:val="en-US"/>
              </w:rPr>
            </w:pPr>
            <w:r w:rsidRPr="00BA5143">
              <w:rPr>
                <w:bCs/>
                <w:sz w:val="20"/>
                <w:lang w:val="en-US"/>
              </w:rPr>
              <w:t>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3</w:t>
            </w:r>
          </w:p>
        </w:tc>
        <w:tc>
          <w:tcPr>
            <w:tcW w:w="801" w:type="dxa"/>
            <w:tcBorders>
              <w:top w:val="nil"/>
              <w:left w:val="nil"/>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4</w:t>
            </w:r>
          </w:p>
        </w:tc>
        <w:tc>
          <w:tcPr>
            <w:tcW w:w="850" w:type="dxa"/>
            <w:tcBorders>
              <w:top w:val="nil"/>
              <w:left w:val="nil"/>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5</w:t>
            </w:r>
          </w:p>
        </w:tc>
        <w:tc>
          <w:tcPr>
            <w:tcW w:w="590" w:type="dxa"/>
            <w:tcBorders>
              <w:top w:val="nil"/>
              <w:left w:val="nil"/>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6</w:t>
            </w:r>
          </w:p>
        </w:tc>
        <w:tc>
          <w:tcPr>
            <w:tcW w:w="720" w:type="dxa"/>
            <w:tcBorders>
              <w:top w:val="nil"/>
              <w:left w:val="nil"/>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7</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093186" w:rsidRPr="00BA5143" w:rsidRDefault="00093186">
            <w:pPr>
              <w:spacing w:line="200" w:lineRule="exact"/>
              <w:jc w:val="center"/>
              <w:rPr>
                <w:bCs/>
                <w:sz w:val="20"/>
                <w:lang w:val="en-US"/>
              </w:rPr>
            </w:pPr>
            <w:r w:rsidRPr="00BA5143">
              <w:rPr>
                <w:bCs/>
                <w:sz w:val="20"/>
                <w:lang w:val="en-US"/>
              </w:rPr>
              <w:t>9</w:t>
            </w:r>
          </w:p>
        </w:tc>
      </w:tr>
      <w:tr w:rsidR="00093186" w:rsidRPr="00BA5143" w:rsidTr="00093186">
        <w:trPr>
          <w:gridAfter w:val="1"/>
          <w:wAfter w:w="1080" w:type="dxa"/>
          <w:trHeight w:val="74"/>
        </w:trPr>
        <w:tc>
          <w:tcPr>
            <w:tcW w:w="568" w:type="dxa"/>
            <w:tcBorders>
              <w:top w:val="nil"/>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b/>
                <w:bCs/>
                <w:color w:val="000000"/>
                <w:sz w:val="20"/>
                <w:lang w:val="en-US"/>
              </w:rPr>
            </w:pPr>
            <w:r w:rsidRPr="00BA5143">
              <w:rPr>
                <w:b/>
                <w:bCs/>
                <w:color w:val="000000"/>
                <w:sz w:val="20"/>
                <w:lang w:val="en-US"/>
              </w:rPr>
              <w:t>1</w:t>
            </w:r>
          </w:p>
        </w:tc>
        <w:tc>
          <w:tcPr>
            <w:tcW w:w="3800" w:type="dxa"/>
            <w:tcBorders>
              <w:top w:val="nil"/>
              <w:left w:val="nil"/>
              <w:bottom w:val="single" w:sz="4" w:space="0" w:color="auto"/>
              <w:right w:val="single" w:sz="4" w:space="0" w:color="auto"/>
            </w:tcBorders>
            <w:shd w:val="clear" w:color="auto" w:fill="FFFFFF"/>
            <w:hideMark/>
          </w:tcPr>
          <w:p w:rsidR="00093186" w:rsidRPr="00BA5143" w:rsidRDefault="00093186">
            <w:pPr>
              <w:spacing w:line="200" w:lineRule="exact"/>
              <w:rPr>
                <w:b/>
                <w:bCs/>
                <w:color w:val="000000"/>
                <w:sz w:val="20"/>
                <w:lang w:val="en-US"/>
              </w:rPr>
            </w:pPr>
            <w:r w:rsidRPr="00BA5143">
              <w:rPr>
                <w:b/>
                <w:bCs/>
                <w:color w:val="000000"/>
                <w:sz w:val="20"/>
                <w:lang w:val="en-US"/>
              </w:rPr>
              <w:t>Carrying amount at the beginning of 2017:</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28 795</w:t>
            </w:r>
          </w:p>
        </w:tc>
        <w:tc>
          <w:tcPr>
            <w:tcW w:w="801"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66</w:t>
            </w:r>
          </w:p>
        </w:tc>
        <w:tc>
          <w:tcPr>
            <w:tcW w:w="85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w:t>
            </w:r>
          </w:p>
        </w:tc>
        <w:tc>
          <w:tcPr>
            <w:tcW w:w="59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w:t>
            </w:r>
          </w:p>
        </w:tc>
        <w:tc>
          <w:tcPr>
            <w:tcW w:w="72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114</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28 978</w:t>
            </w:r>
          </w:p>
        </w:tc>
      </w:tr>
      <w:tr w:rsidR="00093186" w:rsidRPr="00BA5143" w:rsidTr="00093186">
        <w:trPr>
          <w:gridAfter w:val="1"/>
          <w:wAfter w:w="1080" w:type="dxa"/>
          <w:trHeight w:val="70"/>
        </w:trPr>
        <w:tc>
          <w:tcPr>
            <w:tcW w:w="568" w:type="dxa"/>
            <w:tcBorders>
              <w:top w:val="nil"/>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1.1</w:t>
            </w:r>
          </w:p>
        </w:tc>
        <w:tc>
          <w:tcPr>
            <w:tcW w:w="3800" w:type="dxa"/>
            <w:tcBorders>
              <w:top w:val="nil"/>
              <w:left w:val="nil"/>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Initial (overvalued) cost</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30 836</w:t>
            </w:r>
          </w:p>
        </w:tc>
        <w:tc>
          <w:tcPr>
            <w:tcW w:w="801"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995</w:t>
            </w:r>
          </w:p>
        </w:tc>
        <w:tc>
          <w:tcPr>
            <w:tcW w:w="85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214</w:t>
            </w:r>
          </w:p>
        </w:tc>
        <w:tc>
          <w:tcPr>
            <w:tcW w:w="59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7</w:t>
            </w:r>
          </w:p>
        </w:tc>
        <w:tc>
          <w:tcPr>
            <w:tcW w:w="72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154</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512</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32 718</w:t>
            </w:r>
          </w:p>
        </w:tc>
      </w:tr>
      <w:tr w:rsidR="00093186" w:rsidRPr="00BA5143" w:rsidTr="00093186">
        <w:trPr>
          <w:gridAfter w:val="1"/>
          <w:wAfter w:w="1080" w:type="dxa"/>
          <w:trHeight w:val="114"/>
        </w:trPr>
        <w:tc>
          <w:tcPr>
            <w:tcW w:w="568" w:type="dxa"/>
            <w:tcBorders>
              <w:top w:val="nil"/>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1.2</w:t>
            </w:r>
          </w:p>
        </w:tc>
        <w:tc>
          <w:tcPr>
            <w:tcW w:w="3800" w:type="dxa"/>
            <w:tcBorders>
              <w:top w:val="nil"/>
              <w:left w:val="nil"/>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Wear at the beginning of the previous year</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(2 041)</w:t>
            </w:r>
          </w:p>
        </w:tc>
        <w:tc>
          <w:tcPr>
            <w:tcW w:w="801"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(929)</w:t>
            </w:r>
          </w:p>
        </w:tc>
        <w:tc>
          <w:tcPr>
            <w:tcW w:w="85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(213)</w:t>
            </w:r>
          </w:p>
        </w:tc>
        <w:tc>
          <w:tcPr>
            <w:tcW w:w="59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(5)</w:t>
            </w:r>
          </w:p>
        </w:tc>
        <w:tc>
          <w:tcPr>
            <w:tcW w:w="720" w:type="dxa"/>
            <w:tcBorders>
              <w:top w:val="nil"/>
              <w:left w:val="nil"/>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(154)</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(398)</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(3 740)</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2</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Revenue</w:t>
            </w:r>
          </w:p>
        </w:tc>
        <w:tc>
          <w:tcPr>
            <w:tcW w:w="9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134</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14</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86</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45</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279</w:t>
            </w:r>
          </w:p>
        </w:tc>
      </w:tr>
      <w:tr w:rsidR="00093186" w:rsidRPr="00BA5143" w:rsidTr="00093186">
        <w:trPr>
          <w:gridAfter w:val="1"/>
          <w:wAfter w:w="1080" w:type="dxa"/>
          <w:trHeight w:val="311"/>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3</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Capital investments for the completion of fixed assets and improvement of intangible assets</w:t>
            </w:r>
          </w:p>
        </w:tc>
        <w:tc>
          <w:tcPr>
            <w:tcW w:w="9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11</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11</w:t>
            </w:r>
          </w:p>
        </w:tc>
      </w:tr>
      <w:tr w:rsidR="00093186" w:rsidRPr="00BA5143" w:rsidTr="00093186">
        <w:trPr>
          <w:gridAfter w:val="1"/>
          <w:wAfter w:w="1080" w:type="dxa"/>
          <w:trHeight w:val="110"/>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4</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Depreciation deductions</w:t>
            </w:r>
          </w:p>
        </w:tc>
        <w:tc>
          <w:tcPr>
            <w:tcW w:w="9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(411)</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(31)</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(86)</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(44)</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(573)</w:t>
            </w:r>
          </w:p>
        </w:tc>
      </w:tr>
      <w:tr w:rsidR="00093186" w:rsidRPr="00BA5143" w:rsidTr="00093186">
        <w:trPr>
          <w:gridAfter w:val="1"/>
          <w:wAfter w:w="1080" w:type="dxa"/>
          <w:trHeight w:val="92"/>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5</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Other changes</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right"/>
              <w:rPr>
                <w:color w:val="000000"/>
                <w:sz w:val="20"/>
                <w:lang w:val="en-US"/>
              </w:rPr>
            </w:pPr>
            <w:r w:rsidRPr="00BA5143">
              <w:rPr>
                <w:color w:val="000000"/>
                <w:sz w:val="2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right"/>
              <w:rPr>
                <w:color w:val="000000"/>
                <w:sz w:val="20"/>
                <w:lang w:val="en-US"/>
              </w:rPr>
            </w:pPr>
            <w:r w:rsidRPr="00BA5143">
              <w:rPr>
                <w:color w:val="000000"/>
                <w:sz w:val="20"/>
                <w:lang w:val="en-US"/>
              </w:rPr>
              <w:t>-</w:t>
            </w:r>
          </w:p>
        </w:tc>
        <w:tc>
          <w:tcPr>
            <w:tcW w:w="590"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right"/>
              <w:rPr>
                <w:color w:val="000000"/>
                <w:sz w:val="20"/>
                <w:lang w:val="en-US"/>
              </w:rPr>
            </w:pPr>
            <w:r w:rsidRPr="00BA5143">
              <w:rPr>
                <w:color w:val="000000"/>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5.1</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Initial (overvalued) cost</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(18)</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(18)</w:t>
            </w:r>
          </w:p>
        </w:tc>
      </w:tr>
      <w:tr w:rsidR="00093186" w:rsidRPr="00BA5143" w:rsidTr="00093186">
        <w:trPr>
          <w:trHeight w:val="70"/>
        </w:trPr>
        <w:tc>
          <w:tcPr>
            <w:tcW w:w="568"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center"/>
              <w:rPr>
                <w:color w:val="000000"/>
                <w:sz w:val="20"/>
                <w:lang w:val="en-US"/>
              </w:rPr>
            </w:pPr>
            <w:r w:rsidRPr="00BA5143">
              <w:rPr>
                <w:color w:val="000000"/>
                <w:sz w:val="20"/>
                <w:lang w:val="en-US"/>
              </w:rPr>
              <w:t>5.2</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Wear and tear</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18</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18</w:t>
            </w:r>
          </w:p>
        </w:tc>
        <w:tc>
          <w:tcPr>
            <w:tcW w:w="1080" w:type="dxa"/>
          </w:tcPr>
          <w:p w:rsidR="00093186" w:rsidRPr="00BA5143" w:rsidRDefault="00093186">
            <w:pPr>
              <w:spacing w:line="200" w:lineRule="exact"/>
              <w:jc w:val="right"/>
              <w:rPr>
                <w:sz w:val="20"/>
                <w:lang w:val="en-US"/>
              </w:rPr>
            </w:pPr>
          </w:p>
        </w:tc>
      </w:tr>
      <w:tr w:rsidR="00093186" w:rsidRPr="00BA5143" w:rsidTr="00093186">
        <w:trPr>
          <w:gridAfter w:val="1"/>
          <w:wAfter w:w="1080" w:type="dxa"/>
          <w:trHeight w:val="480"/>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b/>
                <w:bCs/>
                <w:sz w:val="20"/>
                <w:lang w:val="en-US"/>
              </w:rPr>
            </w:pPr>
            <w:r w:rsidRPr="00BA5143">
              <w:rPr>
                <w:b/>
                <w:bCs/>
                <w:sz w:val="20"/>
                <w:lang w:val="en-US"/>
              </w:rPr>
              <w:t>6</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rPr>
                <w:b/>
                <w:bCs/>
                <w:sz w:val="20"/>
                <w:lang w:val="en-US"/>
              </w:rPr>
            </w:pPr>
            <w:r w:rsidRPr="00BA5143">
              <w:rPr>
                <w:b/>
                <w:bCs/>
                <w:sz w:val="20"/>
                <w:lang w:val="en-US"/>
              </w:rPr>
              <w:t>Carrying amount at the end of 2017 (as at 1 January 2018):</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28 395</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169</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15</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115</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28 695</w:t>
            </w:r>
          </w:p>
        </w:tc>
      </w:tr>
      <w:tr w:rsidR="00093186" w:rsidRPr="00BA5143" w:rsidTr="00093186">
        <w:trPr>
          <w:gridAfter w:val="1"/>
          <w:wAfter w:w="1080" w:type="dxa"/>
          <w:trHeight w:val="255"/>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6.1</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Initial (overvalued) cost</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30 847</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1 129</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214</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240</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539</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32 990</w:t>
            </w:r>
          </w:p>
        </w:tc>
      </w:tr>
      <w:tr w:rsidR="00093186" w:rsidRPr="00BA5143" w:rsidTr="00093186">
        <w:trPr>
          <w:gridAfter w:val="1"/>
          <w:wAfter w:w="1080" w:type="dxa"/>
          <w:trHeight w:val="268"/>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6.2</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Demolition at the end of 2017 (at the beginning of 2018)</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(2 452)</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(960)</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(213)</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(6)</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(240)</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(424)</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(4 295)</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7</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Revenue</w:t>
            </w:r>
          </w:p>
        </w:tc>
        <w:tc>
          <w:tcPr>
            <w:tcW w:w="9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271</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27</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119</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130</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547</w:t>
            </w:r>
          </w:p>
        </w:tc>
      </w:tr>
      <w:tr w:rsidR="00093186" w:rsidRPr="00BA5143" w:rsidTr="00093186">
        <w:trPr>
          <w:gridAfter w:val="1"/>
          <w:wAfter w:w="1080" w:type="dxa"/>
          <w:trHeight w:val="388"/>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8</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rPr>
                <w:sz w:val="20"/>
                <w:szCs w:val="20"/>
                <w:lang w:val="en-US"/>
              </w:rPr>
            </w:pPr>
            <w:r w:rsidRPr="00BA5143">
              <w:rPr>
                <w:sz w:val="20"/>
                <w:szCs w:val="20"/>
                <w:lang w:val="en-US"/>
              </w:rPr>
              <w:t>Capital investments for the completion of fixed assets and improvement of intangible assets</w:t>
            </w:r>
          </w:p>
        </w:tc>
        <w:tc>
          <w:tcPr>
            <w:tcW w:w="9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61</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61</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9</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Depreciation deductions</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rsidR="00093186" w:rsidRPr="00BA5143" w:rsidRDefault="00093186">
            <w:pPr>
              <w:spacing w:line="200" w:lineRule="exact"/>
              <w:jc w:val="right"/>
              <w:rPr>
                <w:color w:val="000000"/>
                <w:sz w:val="20"/>
                <w:lang w:val="en-US"/>
              </w:rPr>
            </w:pPr>
            <w:r w:rsidRPr="00BA5143">
              <w:rPr>
                <w:color w:val="000000"/>
                <w:sz w:val="20"/>
                <w:lang w:val="en-US"/>
              </w:rPr>
              <w:t>(413)</w:t>
            </w:r>
          </w:p>
        </w:tc>
        <w:tc>
          <w:tcPr>
            <w:tcW w:w="801"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(75)</w:t>
            </w:r>
          </w:p>
        </w:tc>
        <w:tc>
          <w:tcPr>
            <w:tcW w:w="85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w:t>
            </w:r>
          </w:p>
        </w:tc>
        <w:tc>
          <w:tcPr>
            <w:tcW w:w="59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(3)</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(119)</w:t>
            </w:r>
          </w:p>
        </w:tc>
        <w:tc>
          <w:tcPr>
            <w:tcW w:w="72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jc w:val="right"/>
              <w:rPr>
                <w:sz w:val="20"/>
                <w:lang w:val="en-US"/>
              </w:rPr>
            </w:pPr>
            <w:r w:rsidRPr="00BA5143">
              <w:rPr>
                <w:sz w:val="20"/>
                <w:lang w:val="en-US"/>
              </w:rPr>
              <w:t>(54)</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(665)</w:t>
            </w:r>
          </w:p>
        </w:tc>
      </w:tr>
      <w:tr w:rsidR="00093186" w:rsidRPr="00BA5143" w:rsidTr="00093186">
        <w:trPr>
          <w:gridAfter w:val="1"/>
          <w:wAfter w:w="1080" w:type="dxa"/>
          <w:trHeight w:val="255"/>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10</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Other changes</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r>
      <w:tr w:rsidR="00093186" w:rsidRPr="00BA5143" w:rsidTr="00093186">
        <w:trPr>
          <w:gridAfter w:val="1"/>
          <w:wAfter w:w="1080" w:type="dxa"/>
          <w:trHeight w:val="255"/>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10.1</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Initial (overvalued)</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r>
      <w:tr w:rsidR="00093186" w:rsidRPr="00BA5143" w:rsidTr="00093186">
        <w:trPr>
          <w:gridAfter w:val="1"/>
          <w:wAfter w:w="1080" w:type="dxa"/>
          <w:trHeight w:val="255"/>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10.2</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Wear and tear</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b/>
                <w:sz w:val="20"/>
                <w:lang w:val="en-US"/>
              </w:rPr>
            </w:pPr>
            <w:r w:rsidRPr="00BA5143">
              <w:rPr>
                <w:b/>
                <w:sz w:val="20"/>
                <w:lang w:val="en-US"/>
              </w:rPr>
              <w:t>11</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spacing w:line="200" w:lineRule="exact"/>
              <w:rPr>
                <w:b/>
                <w:sz w:val="20"/>
                <w:lang w:val="en-US"/>
              </w:rPr>
            </w:pPr>
            <w:r w:rsidRPr="00BA5143">
              <w:rPr>
                <w:b/>
                <w:bCs/>
                <w:sz w:val="20"/>
                <w:lang w:val="en-US"/>
              </w:rPr>
              <w:t xml:space="preserve">Carrying amount at the end of December </w:t>
            </w:r>
            <w:r w:rsidRPr="00BA5143">
              <w:rPr>
                <w:b/>
                <w:sz w:val="20"/>
                <w:lang w:val="en-US"/>
              </w:rPr>
              <w:t>31</w:t>
            </w:r>
            <w:r w:rsidR="00201937" w:rsidRPr="00BA5143">
              <w:rPr>
                <w:b/>
                <w:sz w:val="20"/>
                <w:lang w:val="en-US"/>
              </w:rPr>
              <w:t>,</w:t>
            </w:r>
            <w:r w:rsidRPr="00BA5143">
              <w:rPr>
                <w:b/>
                <w:sz w:val="20"/>
                <w:lang w:val="en-US"/>
              </w:rPr>
              <w:t xml:space="preserve"> 2018</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28 043</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365</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0</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39</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191</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b/>
                <w:sz w:val="20"/>
                <w:lang w:val="en-US"/>
              </w:rPr>
            </w:pPr>
            <w:r w:rsidRPr="00BA5143">
              <w:rPr>
                <w:b/>
                <w:sz w:val="20"/>
                <w:lang w:val="en-US"/>
              </w:rPr>
              <w:t>28 638</w:t>
            </w:r>
          </w:p>
        </w:tc>
      </w:tr>
      <w:tr w:rsidR="00093186" w:rsidRPr="00BA5143" w:rsidTr="00093186">
        <w:trPr>
          <w:gridAfter w:val="1"/>
          <w:wAfter w:w="1080" w:type="dxa"/>
          <w:trHeight w:val="193"/>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11.1</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Initial (overvalued) cost</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30 908</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1 400</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214</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48</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359</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669</w:t>
            </w:r>
          </w:p>
        </w:tc>
        <w:tc>
          <w:tcPr>
            <w:tcW w:w="108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33 598</w:t>
            </w:r>
          </w:p>
        </w:tc>
      </w:tr>
      <w:tr w:rsidR="00093186" w:rsidRPr="00BA5143" w:rsidTr="00093186">
        <w:trPr>
          <w:gridAfter w:val="1"/>
          <w:wAfter w:w="1080" w:type="dxa"/>
          <w:trHeight w:val="70"/>
        </w:trPr>
        <w:tc>
          <w:tcPr>
            <w:tcW w:w="568"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center"/>
              <w:rPr>
                <w:sz w:val="20"/>
                <w:lang w:val="en-US"/>
              </w:rPr>
            </w:pPr>
            <w:r w:rsidRPr="00BA5143">
              <w:rPr>
                <w:sz w:val="20"/>
                <w:lang w:val="en-US"/>
              </w:rPr>
              <w:t>11.2</w:t>
            </w:r>
          </w:p>
        </w:tc>
        <w:tc>
          <w:tcPr>
            <w:tcW w:w="3800" w:type="dxa"/>
            <w:tcBorders>
              <w:top w:val="single" w:sz="4" w:space="0" w:color="auto"/>
              <w:left w:val="single" w:sz="4" w:space="0" w:color="auto"/>
              <w:bottom w:val="single" w:sz="4" w:space="0" w:color="auto"/>
              <w:right w:val="single" w:sz="4" w:space="0" w:color="auto"/>
            </w:tcBorders>
            <w:hideMark/>
          </w:tcPr>
          <w:p w:rsidR="00093186" w:rsidRPr="00BA5143" w:rsidRDefault="00093186">
            <w:pPr>
              <w:rPr>
                <w:sz w:val="20"/>
                <w:szCs w:val="20"/>
                <w:lang w:val="en-US"/>
              </w:rPr>
            </w:pPr>
            <w:r w:rsidRPr="00BA5143">
              <w:rPr>
                <w:sz w:val="20"/>
                <w:szCs w:val="20"/>
                <w:lang w:val="en-US"/>
              </w:rPr>
              <w:t>Wear and tear by the end of 2018</w:t>
            </w:r>
          </w:p>
        </w:tc>
        <w:tc>
          <w:tcPr>
            <w:tcW w:w="90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(2 865)</w:t>
            </w:r>
          </w:p>
        </w:tc>
        <w:tc>
          <w:tcPr>
            <w:tcW w:w="801"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(1 035)</w:t>
            </w:r>
          </w:p>
        </w:tc>
        <w:tc>
          <w:tcPr>
            <w:tcW w:w="85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(214)</w:t>
            </w:r>
          </w:p>
        </w:tc>
        <w:tc>
          <w:tcPr>
            <w:tcW w:w="59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(9)</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(359)</w:t>
            </w:r>
          </w:p>
        </w:tc>
        <w:tc>
          <w:tcPr>
            <w:tcW w:w="720" w:type="dxa"/>
            <w:tcBorders>
              <w:top w:val="single" w:sz="4" w:space="0" w:color="auto"/>
              <w:left w:val="single" w:sz="4" w:space="0" w:color="auto"/>
              <w:bottom w:val="single" w:sz="4" w:space="0" w:color="auto"/>
              <w:right w:val="single" w:sz="4" w:space="0" w:color="auto"/>
            </w:tcBorders>
            <w:noWrap/>
            <w:hideMark/>
          </w:tcPr>
          <w:p w:rsidR="00093186" w:rsidRPr="00BA5143" w:rsidRDefault="00093186">
            <w:pPr>
              <w:spacing w:line="200" w:lineRule="exact"/>
              <w:jc w:val="right"/>
              <w:rPr>
                <w:sz w:val="20"/>
                <w:lang w:val="en-US"/>
              </w:rPr>
            </w:pPr>
            <w:r w:rsidRPr="00BA5143">
              <w:rPr>
                <w:sz w:val="20"/>
                <w:lang w:val="en-US"/>
              </w:rPr>
              <w:t>(478)</w:t>
            </w:r>
          </w:p>
        </w:tc>
        <w:tc>
          <w:tcPr>
            <w:tcW w:w="1080" w:type="dxa"/>
            <w:tcBorders>
              <w:top w:val="single" w:sz="4" w:space="0" w:color="auto"/>
              <w:left w:val="single" w:sz="4" w:space="0" w:color="auto"/>
              <w:bottom w:val="single" w:sz="4" w:space="0" w:color="auto"/>
              <w:right w:val="single" w:sz="4" w:space="0" w:color="auto"/>
            </w:tcBorders>
            <w:shd w:val="clear" w:color="auto" w:fill="FFFFFF"/>
            <w:noWrap/>
            <w:hideMark/>
          </w:tcPr>
          <w:p w:rsidR="00093186" w:rsidRPr="00BA5143" w:rsidRDefault="00093186">
            <w:pPr>
              <w:spacing w:line="200" w:lineRule="exact"/>
              <w:jc w:val="right"/>
              <w:rPr>
                <w:color w:val="000000"/>
                <w:sz w:val="20"/>
                <w:lang w:val="en-US"/>
              </w:rPr>
            </w:pPr>
            <w:r w:rsidRPr="00BA5143">
              <w:rPr>
                <w:color w:val="000000"/>
                <w:sz w:val="20"/>
                <w:lang w:val="en-US"/>
              </w:rPr>
              <w:t>(4 960)</w:t>
            </w:r>
          </w:p>
        </w:tc>
      </w:tr>
    </w:tbl>
    <w:p w:rsidR="00093186" w:rsidRPr="00BA5143" w:rsidRDefault="00093186" w:rsidP="00784AA7">
      <w:pPr>
        <w:ind w:firstLine="426"/>
        <w:rPr>
          <w:rFonts w:eastAsia="Calibri"/>
          <w:color w:val="000000"/>
          <w:lang w:val="en-US"/>
        </w:rPr>
      </w:pPr>
    </w:p>
    <w:p w:rsidR="00784AA7" w:rsidRPr="00BA5143" w:rsidRDefault="00784AA7" w:rsidP="00784AA7">
      <w:pPr>
        <w:ind w:firstLine="426"/>
        <w:rPr>
          <w:rFonts w:eastAsia="Calibri"/>
          <w:color w:val="000000"/>
          <w:lang w:val="en-US"/>
        </w:rPr>
      </w:pPr>
      <w:r w:rsidRPr="00BA5143">
        <w:rPr>
          <w:rFonts w:eastAsia="Calibri"/>
          <w:color w:val="000000"/>
          <w:lang w:val="en-US"/>
        </w:rPr>
        <w:t>As of December 31, 2018, JSC "Ukrainian Bank for Reconstruction and Development":</w:t>
      </w:r>
    </w:p>
    <w:p w:rsidR="00784AA7" w:rsidRPr="00BA5143" w:rsidRDefault="00784AA7" w:rsidP="00784AA7">
      <w:pPr>
        <w:ind w:firstLine="426"/>
        <w:rPr>
          <w:rFonts w:eastAsia="Calibri"/>
          <w:color w:val="000000"/>
          <w:lang w:val="en-US"/>
        </w:rPr>
      </w:pPr>
      <w:r w:rsidRPr="00BA5143">
        <w:rPr>
          <w:rFonts w:eastAsia="Calibri"/>
          <w:color w:val="000000"/>
          <w:lang w:val="en-US"/>
        </w:rPr>
        <w:t>- The cost of fixed assets and intangible assets, for which the restrictions on the possession, use and disposal of the property are stipulated by law, amount to 0.00 ths</w:t>
      </w:r>
      <w:r w:rsidR="00201937" w:rsidRPr="00BA5143">
        <w:rPr>
          <w:rFonts w:eastAsia="Calibri"/>
          <w:color w:val="000000"/>
          <w:lang w:val="en-US"/>
        </w:rPr>
        <w:t>.</w:t>
      </w:r>
      <w:r w:rsidRPr="00BA5143">
        <w:rPr>
          <w:rFonts w:eastAsia="Calibri"/>
          <w:color w:val="000000"/>
          <w:lang w:val="en-US"/>
        </w:rPr>
        <w:t xml:space="preserve"> UAH.</w:t>
      </w:r>
    </w:p>
    <w:p w:rsidR="00784AA7" w:rsidRPr="00BA5143" w:rsidRDefault="00784AA7" w:rsidP="00784AA7">
      <w:pPr>
        <w:ind w:firstLine="426"/>
        <w:rPr>
          <w:rFonts w:eastAsia="Calibri"/>
          <w:color w:val="000000"/>
          <w:lang w:val="en-US"/>
        </w:rPr>
      </w:pPr>
      <w:r w:rsidRPr="00BA5143">
        <w:rPr>
          <w:rFonts w:eastAsia="Calibri"/>
          <w:color w:val="000000"/>
          <w:lang w:val="en-US"/>
        </w:rPr>
        <w:t>- There are no fixed assets and intangible assets pledged;</w:t>
      </w:r>
    </w:p>
    <w:p w:rsidR="00784AA7" w:rsidRPr="00BA5143" w:rsidRDefault="00784AA7" w:rsidP="00784AA7">
      <w:pPr>
        <w:ind w:firstLine="426"/>
        <w:rPr>
          <w:rFonts w:eastAsia="Calibri"/>
          <w:color w:val="000000"/>
          <w:lang w:val="en-US"/>
        </w:rPr>
      </w:pPr>
      <w:r w:rsidRPr="00BA5143">
        <w:rPr>
          <w:rFonts w:eastAsia="Calibri"/>
          <w:color w:val="000000"/>
          <w:lang w:val="en-US"/>
        </w:rPr>
        <w:t>- The residual value of fixed assets that are temporarily not used (preservation, reconstruction, etc.);</w:t>
      </w:r>
    </w:p>
    <w:p w:rsidR="00784AA7" w:rsidRPr="00BA5143" w:rsidRDefault="00784AA7" w:rsidP="00784AA7">
      <w:pPr>
        <w:ind w:firstLine="426"/>
        <w:rPr>
          <w:rFonts w:eastAsia="Calibri"/>
          <w:color w:val="000000"/>
          <w:lang w:val="en-US"/>
        </w:rPr>
      </w:pPr>
      <w:r w:rsidRPr="00BA5143">
        <w:rPr>
          <w:rFonts w:eastAsia="Calibri"/>
          <w:color w:val="000000"/>
          <w:lang w:val="en-US"/>
        </w:rPr>
        <w:t>- There is no residual value of fixed assets withdrawn from operation for sale;</w:t>
      </w:r>
    </w:p>
    <w:p w:rsidR="00784AA7" w:rsidRPr="00BA5143" w:rsidRDefault="00784AA7" w:rsidP="00784AA7">
      <w:pPr>
        <w:ind w:firstLine="426"/>
        <w:rPr>
          <w:rFonts w:eastAsia="Calibri"/>
          <w:color w:val="000000"/>
          <w:lang w:val="en-US"/>
        </w:rPr>
      </w:pPr>
      <w:r w:rsidRPr="00BA5143">
        <w:rPr>
          <w:rFonts w:eastAsia="Calibri"/>
          <w:color w:val="000000"/>
          <w:lang w:val="en-US"/>
        </w:rPr>
        <w:t>- Initial cost of fully amortized fixed assets – 1 361 thousand UAH;</w:t>
      </w:r>
    </w:p>
    <w:p w:rsidR="00784AA7" w:rsidRPr="00BA5143" w:rsidRDefault="00784AA7" w:rsidP="00784AA7">
      <w:pPr>
        <w:ind w:firstLine="426"/>
        <w:rPr>
          <w:rFonts w:eastAsia="Calibri"/>
          <w:color w:val="000000"/>
          <w:lang w:val="en-US"/>
        </w:rPr>
      </w:pPr>
      <w:r w:rsidRPr="00BA5143">
        <w:rPr>
          <w:rFonts w:eastAsia="Calibri"/>
          <w:color w:val="000000"/>
          <w:lang w:val="en-US"/>
        </w:rPr>
        <w:t>- The cost of intangible assets for which there is a restriction of ownership - does not have;</w:t>
      </w:r>
    </w:p>
    <w:p w:rsidR="00784AA7" w:rsidRPr="00BA5143" w:rsidRDefault="00784AA7" w:rsidP="00784AA7">
      <w:pPr>
        <w:ind w:firstLine="426"/>
        <w:rPr>
          <w:rFonts w:eastAsia="Calibri"/>
          <w:color w:val="000000"/>
          <w:lang w:val="en-US"/>
        </w:rPr>
      </w:pPr>
      <w:r w:rsidRPr="00BA5143">
        <w:rPr>
          <w:rFonts w:eastAsia="Calibri"/>
          <w:color w:val="000000"/>
          <w:lang w:val="en-US"/>
        </w:rPr>
        <w:lastRenderedPageBreak/>
        <w:t>- Cost of the created intangible assets - does not have;</w:t>
      </w:r>
    </w:p>
    <w:p w:rsidR="005B3011" w:rsidRPr="00BA5143" w:rsidRDefault="00784AA7" w:rsidP="00784AA7">
      <w:pPr>
        <w:ind w:firstLine="426"/>
        <w:rPr>
          <w:rFonts w:eastAsia="Calibri"/>
          <w:color w:val="000000"/>
          <w:lang w:val="en-US"/>
        </w:rPr>
      </w:pPr>
      <w:r w:rsidRPr="00BA5143">
        <w:rPr>
          <w:rFonts w:eastAsia="Calibri"/>
          <w:color w:val="000000"/>
          <w:lang w:val="en-US"/>
        </w:rPr>
        <w:t>- Increases or decreases during the reporting period that arise as a result of revaluations and as a result of impairment losses recognized or reversed directly in equity are not incurred.</w:t>
      </w:r>
    </w:p>
    <w:p w:rsidR="00784AA7" w:rsidRPr="00BA5143" w:rsidRDefault="00784AA7" w:rsidP="00784AA7">
      <w:pPr>
        <w:jc w:val="right"/>
        <w:rPr>
          <w:highlight w:val="yellow"/>
          <w:lang w:val="en-US"/>
        </w:rPr>
      </w:pPr>
    </w:p>
    <w:p w:rsidR="00F75654" w:rsidRPr="00BA5143" w:rsidRDefault="00EA2E61" w:rsidP="007F7991">
      <w:pPr>
        <w:ind w:firstLine="567"/>
        <w:jc w:val="both"/>
        <w:rPr>
          <w:b/>
          <w:lang w:val="en-US"/>
        </w:rPr>
      </w:pPr>
      <w:r w:rsidRPr="00BA5143">
        <w:rPr>
          <w:b/>
          <w:lang w:val="en-US"/>
        </w:rPr>
        <w:t>NOTE</w:t>
      </w:r>
      <w:r w:rsidR="00F75654" w:rsidRPr="00BA5143">
        <w:rPr>
          <w:b/>
          <w:lang w:val="en-US"/>
        </w:rPr>
        <w:t xml:space="preserve"> 1</w:t>
      </w:r>
      <w:r w:rsidR="002D5B52" w:rsidRPr="00BA5143">
        <w:rPr>
          <w:b/>
          <w:lang w:val="en-US"/>
        </w:rPr>
        <w:t>0</w:t>
      </w:r>
      <w:r w:rsidR="00F75654" w:rsidRPr="00BA5143">
        <w:rPr>
          <w:b/>
          <w:lang w:val="en-US"/>
        </w:rPr>
        <w:t xml:space="preserve">. </w:t>
      </w:r>
      <w:r w:rsidRPr="00BA5143">
        <w:rPr>
          <w:b/>
          <w:lang w:val="en-US"/>
        </w:rPr>
        <w:t>OTHER ASSETS</w:t>
      </w:r>
    </w:p>
    <w:p w:rsidR="00885425" w:rsidRPr="00BA5143" w:rsidRDefault="00885425" w:rsidP="007F7991">
      <w:pPr>
        <w:shd w:val="clear" w:color="auto" w:fill="FFFFFF"/>
        <w:ind w:firstLine="567"/>
        <w:rPr>
          <w:b/>
          <w:lang w:val="en-US"/>
        </w:rPr>
      </w:pPr>
    </w:p>
    <w:p w:rsidR="00F75654" w:rsidRPr="00BA5143" w:rsidRDefault="00EA2E61" w:rsidP="007F7991">
      <w:pPr>
        <w:shd w:val="clear" w:color="auto" w:fill="FFFFFF"/>
        <w:ind w:firstLine="567"/>
        <w:rPr>
          <w:b/>
          <w:lang w:val="en-US"/>
        </w:rPr>
      </w:pPr>
      <w:r w:rsidRPr="00BA5143">
        <w:rPr>
          <w:b/>
          <w:lang w:val="en-US"/>
        </w:rPr>
        <w:t>Table</w:t>
      </w:r>
      <w:r w:rsidR="00F75654" w:rsidRPr="00BA5143">
        <w:rPr>
          <w:b/>
          <w:lang w:val="en-US"/>
        </w:rPr>
        <w:t xml:space="preserve"> 1</w:t>
      </w:r>
      <w:r w:rsidR="002D5B52" w:rsidRPr="00BA5143">
        <w:rPr>
          <w:b/>
          <w:lang w:val="en-US"/>
        </w:rPr>
        <w:t>0</w:t>
      </w:r>
      <w:r w:rsidR="00F75654" w:rsidRPr="00BA5143">
        <w:rPr>
          <w:b/>
          <w:lang w:val="en-US"/>
        </w:rPr>
        <w:t xml:space="preserve">.1. </w:t>
      </w:r>
      <w:r w:rsidRPr="00BA5143">
        <w:rPr>
          <w:b/>
          <w:lang w:val="en-US"/>
        </w:rPr>
        <w:t>Other assets</w:t>
      </w:r>
      <w:r w:rsidR="00F75654" w:rsidRPr="00BA5143">
        <w:rPr>
          <w:b/>
          <w:lang w:val="en-US"/>
        </w:rPr>
        <w:t xml:space="preserve"> </w:t>
      </w:r>
    </w:p>
    <w:p w:rsidR="00EA2E61" w:rsidRPr="00BA5143" w:rsidRDefault="00EA2E61" w:rsidP="00EA2E61">
      <w:pPr>
        <w:shd w:val="clear" w:color="auto" w:fill="FFFFFF"/>
        <w:ind w:firstLine="567"/>
        <w:jc w:val="right"/>
        <w:rPr>
          <w:lang w:val="en-US"/>
        </w:rPr>
      </w:pPr>
      <w:r w:rsidRPr="00BA5143">
        <w:rPr>
          <w:lang w:val="en-US"/>
        </w:rPr>
        <w:t>(ths. UAH.)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
        <w:gridCol w:w="5660"/>
        <w:gridCol w:w="1559"/>
        <w:gridCol w:w="1418"/>
      </w:tblGrid>
      <w:tr w:rsidR="00EA2E61" w:rsidRPr="00BA5143" w:rsidTr="00EA2E61">
        <w:trPr>
          <w:trHeight w:val="477"/>
        </w:trPr>
        <w:tc>
          <w:tcPr>
            <w:tcW w:w="719"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bCs/>
                <w:sz w:val="20"/>
                <w:lang w:val="en-US"/>
              </w:rPr>
            </w:pPr>
            <w:r w:rsidRPr="00BA5143">
              <w:rPr>
                <w:bCs/>
                <w:sz w:val="20"/>
                <w:lang w:val="en-US"/>
              </w:rPr>
              <w:t>Line</w:t>
            </w:r>
          </w:p>
        </w:tc>
        <w:tc>
          <w:tcPr>
            <w:tcW w:w="5660"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sz w:val="20"/>
                <w:lang w:val="en-US"/>
              </w:rPr>
            </w:pPr>
            <w:r w:rsidRPr="00BA5143">
              <w:rPr>
                <w:sz w:val="20"/>
                <w:lang w:val="en-US"/>
              </w:rPr>
              <w:t>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sz w:val="20"/>
                <w:lang w:val="en-US"/>
              </w:rPr>
            </w:pPr>
            <w:r w:rsidRPr="00BA5143">
              <w:rPr>
                <w:sz w:val="20"/>
                <w:lang w:val="en-US"/>
              </w:rPr>
              <w:t xml:space="preserve">2017 </w:t>
            </w:r>
          </w:p>
        </w:tc>
      </w:tr>
      <w:tr w:rsidR="00EA2E61" w:rsidRPr="00BA5143" w:rsidTr="00EA2E61">
        <w:trPr>
          <w:trHeight w:val="132"/>
        </w:trPr>
        <w:tc>
          <w:tcPr>
            <w:tcW w:w="719"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bCs/>
                <w:sz w:val="20"/>
                <w:lang w:val="en-US"/>
              </w:rPr>
            </w:pPr>
            <w:r w:rsidRPr="00BA5143">
              <w:rPr>
                <w:bCs/>
                <w:sz w:val="20"/>
                <w:lang w:val="en-US"/>
              </w:rPr>
              <w:t>1</w:t>
            </w:r>
          </w:p>
        </w:tc>
        <w:tc>
          <w:tcPr>
            <w:tcW w:w="5660"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bCs/>
                <w:sz w:val="20"/>
                <w:lang w:val="en-US"/>
              </w:rPr>
            </w:pPr>
            <w:r w:rsidRPr="00BA5143">
              <w:rPr>
                <w:bCs/>
                <w:sz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bCs/>
                <w:sz w:val="20"/>
                <w:lang w:val="en-US"/>
              </w:rPr>
            </w:pPr>
            <w:r w:rsidRPr="00BA5143">
              <w:rPr>
                <w:bCs/>
                <w:sz w:val="20"/>
                <w:lang w:val="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2E61" w:rsidRPr="00BA5143" w:rsidRDefault="00EA2E61">
            <w:pPr>
              <w:jc w:val="center"/>
              <w:rPr>
                <w:bCs/>
                <w:sz w:val="20"/>
                <w:lang w:val="en-US"/>
              </w:rPr>
            </w:pPr>
            <w:r w:rsidRPr="00BA5143">
              <w:rPr>
                <w:bCs/>
                <w:sz w:val="20"/>
                <w:lang w:val="en-US"/>
              </w:rPr>
              <w:t>4</w:t>
            </w:r>
          </w:p>
        </w:tc>
      </w:tr>
      <w:tr w:rsidR="00EA2E61" w:rsidRPr="00BA5143" w:rsidTr="00EA2E61">
        <w:trPr>
          <w:trHeight w:val="178"/>
        </w:trPr>
        <w:tc>
          <w:tcPr>
            <w:tcW w:w="71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center"/>
              <w:rPr>
                <w:sz w:val="20"/>
                <w:lang w:val="en-US"/>
              </w:rPr>
            </w:pPr>
            <w:r w:rsidRPr="00BA5143">
              <w:rPr>
                <w:sz w:val="20"/>
                <w:lang w:val="en-US"/>
              </w:rPr>
              <w:t>1</w:t>
            </w:r>
          </w:p>
        </w:tc>
        <w:tc>
          <w:tcPr>
            <w:tcW w:w="5660" w:type="dxa"/>
            <w:tcBorders>
              <w:top w:val="single" w:sz="4" w:space="0" w:color="auto"/>
              <w:left w:val="single" w:sz="4" w:space="0" w:color="auto"/>
              <w:bottom w:val="single" w:sz="4" w:space="0" w:color="auto"/>
              <w:right w:val="single" w:sz="4" w:space="0" w:color="auto"/>
            </w:tcBorders>
            <w:hideMark/>
          </w:tcPr>
          <w:p w:rsidR="00EA2E61" w:rsidRPr="00BA5143" w:rsidRDefault="00EA2E61">
            <w:pPr>
              <w:rPr>
                <w:sz w:val="20"/>
                <w:szCs w:val="20"/>
                <w:lang w:val="en-US"/>
              </w:rPr>
            </w:pPr>
            <w:r w:rsidRPr="00BA5143">
              <w:rPr>
                <w:sz w:val="20"/>
                <w:szCs w:val="20"/>
                <w:lang w:val="en-US"/>
              </w:rPr>
              <w:t>Accounts Receivable for Acquisition of Assets</w:t>
            </w:r>
          </w:p>
        </w:tc>
        <w:tc>
          <w:tcPr>
            <w:tcW w:w="155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1 852</w:t>
            </w:r>
          </w:p>
        </w:tc>
        <w:tc>
          <w:tcPr>
            <w:tcW w:w="1418"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62</w:t>
            </w:r>
          </w:p>
        </w:tc>
      </w:tr>
      <w:tr w:rsidR="00EA2E61" w:rsidRPr="00BA5143" w:rsidTr="00EA2E61">
        <w:trPr>
          <w:trHeight w:val="70"/>
        </w:trPr>
        <w:tc>
          <w:tcPr>
            <w:tcW w:w="71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center"/>
              <w:rPr>
                <w:sz w:val="20"/>
                <w:lang w:val="en-US"/>
              </w:rPr>
            </w:pPr>
            <w:r w:rsidRPr="00BA5143">
              <w:rPr>
                <w:sz w:val="20"/>
                <w:lang w:val="en-US"/>
              </w:rPr>
              <w:t>2</w:t>
            </w:r>
          </w:p>
        </w:tc>
        <w:tc>
          <w:tcPr>
            <w:tcW w:w="5660" w:type="dxa"/>
            <w:tcBorders>
              <w:top w:val="single" w:sz="4" w:space="0" w:color="auto"/>
              <w:left w:val="single" w:sz="4" w:space="0" w:color="auto"/>
              <w:bottom w:val="single" w:sz="4" w:space="0" w:color="auto"/>
              <w:right w:val="single" w:sz="4" w:space="0" w:color="auto"/>
            </w:tcBorders>
            <w:hideMark/>
          </w:tcPr>
          <w:p w:rsidR="00EA2E61" w:rsidRPr="00BA5143" w:rsidRDefault="00EA2E61">
            <w:pPr>
              <w:rPr>
                <w:sz w:val="20"/>
                <w:szCs w:val="20"/>
                <w:lang w:val="en-US"/>
              </w:rPr>
            </w:pPr>
            <w:r w:rsidRPr="00BA5143">
              <w:rPr>
                <w:sz w:val="20"/>
                <w:szCs w:val="20"/>
                <w:lang w:val="en-US"/>
              </w:rPr>
              <w:t>Prepayment for services</w:t>
            </w:r>
          </w:p>
        </w:tc>
        <w:tc>
          <w:tcPr>
            <w:tcW w:w="155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296</w:t>
            </w:r>
          </w:p>
        </w:tc>
        <w:tc>
          <w:tcPr>
            <w:tcW w:w="1418"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73</w:t>
            </w:r>
          </w:p>
        </w:tc>
      </w:tr>
      <w:tr w:rsidR="00EA2E61" w:rsidRPr="00BA5143" w:rsidTr="00EA2E61">
        <w:trPr>
          <w:trHeight w:val="70"/>
        </w:trPr>
        <w:tc>
          <w:tcPr>
            <w:tcW w:w="71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center"/>
              <w:rPr>
                <w:sz w:val="20"/>
                <w:lang w:val="en-US"/>
              </w:rPr>
            </w:pPr>
            <w:r w:rsidRPr="00BA5143">
              <w:rPr>
                <w:sz w:val="20"/>
                <w:lang w:val="en-US"/>
              </w:rPr>
              <w:t>3</w:t>
            </w:r>
          </w:p>
        </w:tc>
        <w:tc>
          <w:tcPr>
            <w:tcW w:w="5660" w:type="dxa"/>
            <w:tcBorders>
              <w:top w:val="single" w:sz="4" w:space="0" w:color="auto"/>
              <w:left w:val="single" w:sz="4" w:space="0" w:color="auto"/>
              <w:bottom w:val="single" w:sz="4" w:space="0" w:color="auto"/>
              <w:right w:val="single" w:sz="4" w:space="0" w:color="auto"/>
            </w:tcBorders>
            <w:hideMark/>
          </w:tcPr>
          <w:p w:rsidR="00EA2E61" w:rsidRPr="00BA5143" w:rsidRDefault="00EA2E61">
            <w:pPr>
              <w:rPr>
                <w:sz w:val="20"/>
                <w:szCs w:val="20"/>
                <w:lang w:val="en-US"/>
              </w:rPr>
            </w:pPr>
            <w:r w:rsidRPr="00BA5143">
              <w:rPr>
                <w:sz w:val="20"/>
                <w:szCs w:val="20"/>
                <w:lang w:val="en-US"/>
              </w:rPr>
              <w:t>Other assets *</w:t>
            </w:r>
          </w:p>
        </w:tc>
        <w:tc>
          <w:tcPr>
            <w:tcW w:w="155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805</w:t>
            </w:r>
          </w:p>
        </w:tc>
        <w:tc>
          <w:tcPr>
            <w:tcW w:w="1418"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823</w:t>
            </w:r>
          </w:p>
        </w:tc>
      </w:tr>
      <w:tr w:rsidR="00EA2E61" w:rsidRPr="00BA5143" w:rsidTr="00EA2E61">
        <w:trPr>
          <w:trHeight w:val="70"/>
        </w:trPr>
        <w:tc>
          <w:tcPr>
            <w:tcW w:w="71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center"/>
              <w:rPr>
                <w:sz w:val="20"/>
                <w:lang w:val="en-US"/>
              </w:rPr>
            </w:pPr>
            <w:r w:rsidRPr="00BA5143">
              <w:rPr>
                <w:sz w:val="20"/>
                <w:lang w:val="en-US"/>
              </w:rPr>
              <w:t>4</w:t>
            </w:r>
          </w:p>
        </w:tc>
        <w:tc>
          <w:tcPr>
            <w:tcW w:w="5660" w:type="dxa"/>
            <w:tcBorders>
              <w:top w:val="single" w:sz="4" w:space="0" w:color="auto"/>
              <w:left w:val="single" w:sz="4" w:space="0" w:color="auto"/>
              <w:bottom w:val="single" w:sz="4" w:space="0" w:color="auto"/>
              <w:right w:val="single" w:sz="4" w:space="0" w:color="auto"/>
            </w:tcBorders>
            <w:hideMark/>
          </w:tcPr>
          <w:p w:rsidR="00EA2E61" w:rsidRPr="00BA5143" w:rsidRDefault="00EA2E61">
            <w:pPr>
              <w:rPr>
                <w:sz w:val="20"/>
                <w:szCs w:val="20"/>
                <w:lang w:val="en-US"/>
              </w:rPr>
            </w:pPr>
            <w:r w:rsidRPr="00BA5143">
              <w:rPr>
                <w:sz w:val="20"/>
                <w:szCs w:val="20"/>
                <w:lang w:val="en-US"/>
              </w:rPr>
              <w:t>Reserve for other assets</w:t>
            </w:r>
          </w:p>
        </w:tc>
        <w:tc>
          <w:tcPr>
            <w:tcW w:w="155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(149)</w:t>
            </w:r>
          </w:p>
        </w:tc>
        <w:tc>
          <w:tcPr>
            <w:tcW w:w="1418"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sz w:val="20"/>
                <w:lang w:val="en-US"/>
              </w:rPr>
            </w:pPr>
            <w:r w:rsidRPr="00BA5143">
              <w:rPr>
                <w:sz w:val="20"/>
                <w:lang w:val="en-US"/>
              </w:rPr>
              <w:t>(65)</w:t>
            </w:r>
          </w:p>
        </w:tc>
      </w:tr>
      <w:tr w:rsidR="00EA2E61" w:rsidRPr="00BA5143" w:rsidTr="00EA2E61">
        <w:trPr>
          <w:trHeight w:val="106"/>
        </w:trPr>
        <w:tc>
          <w:tcPr>
            <w:tcW w:w="71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center"/>
              <w:rPr>
                <w:sz w:val="20"/>
                <w:lang w:val="en-US"/>
              </w:rPr>
            </w:pPr>
            <w:r w:rsidRPr="00BA5143">
              <w:rPr>
                <w:sz w:val="20"/>
                <w:lang w:val="en-US"/>
              </w:rPr>
              <w:t>5</w:t>
            </w:r>
          </w:p>
        </w:tc>
        <w:tc>
          <w:tcPr>
            <w:tcW w:w="5660" w:type="dxa"/>
            <w:tcBorders>
              <w:top w:val="single" w:sz="4" w:space="0" w:color="auto"/>
              <w:left w:val="single" w:sz="4" w:space="0" w:color="auto"/>
              <w:bottom w:val="single" w:sz="4" w:space="0" w:color="auto"/>
              <w:right w:val="single" w:sz="4" w:space="0" w:color="auto"/>
            </w:tcBorders>
            <w:hideMark/>
          </w:tcPr>
          <w:p w:rsidR="00EA2E61" w:rsidRPr="00BA5143" w:rsidRDefault="00EA2E61">
            <w:pPr>
              <w:rPr>
                <w:sz w:val="20"/>
                <w:szCs w:val="20"/>
                <w:lang w:val="en-US"/>
              </w:rPr>
            </w:pPr>
            <w:r w:rsidRPr="00BA5143">
              <w:rPr>
                <w:sz w:val="20"/>
                <w:szCs w:val="20"/>
                <w:lang w:val="en-US"/>
              </w:rPr>
              <w:t>Total other assets minus reserves</w:t>
            </w:r>
          </w:p>
        </w:tc>
        <w:tc>
          <w:tcPr>
            <w:tcW w:w="1559"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bCs/>
                <w:sz w:val="20"/>
                <w:lang w:val="en-US"/>
              </w:rPr>
            </w:pPr>
            <w:r w:rsidRPr="00BA5143">
              <w:rPr>
                <w:bCs/>
                <w:sz w:val="20"/>
                <w:lang w:val="en-US"/>
              </w:rPr>
              <w:t>2 804</w:t>
            </w:r>
          </w:p>
        </w:tc>
        <w:tc>
          <w:tcPr>
            <w:tcW w:w="1418" w:type="dxa"/>
            <w:tcBorders>
              <w:top w:val="single" w:sz="4" w:space="0" w:color="auto"/>
              <w:left w:val="single" w:sz="4" w:space="0" w:color="auto"/>
              <w:bottom w:val="single" w:sz="4" w:space="0" w:color="auto"/>
              <w:right w:val="single" w:sz="4" w:space="0" w:color="auto"/>
            </w:tcBorders>
            <w:hideMark/>
          </w:tcPr>
          <w:p w:rsidR="00EA2E61" w:rsidRPr="00BA5143" w:rsidRDefault="00EA2E61">
            <w:pPr>
              <w:jc w:val="right"/>
              <w:rPr>
                <w:bCs/>
                <w:sz w:val="20"/>
                <w:lang w:val="en-US"/>
              </w:rPr>
            </w:pPr>
            <w:r w:rsidRPr="00BA5143">
              <w:rPr>
                <w:bCs/>
                <w:sz w:val="20"/>
                <w:lang w:val="en-US"/>
              </w:rPr>
              <w:t>893</w:t>
            </w:r>
          </w:p>
        </w:tc>
      </w:tr>
    </w:tbl>
    <w:p w:rsidR="00784AA7" w:rsidRPr="00BA5143" w:rsidRDefault="00EA2E61" w:rsidP="00784AA7">
      <w:pPr>
        <w:shd w:val="clear" w:color="auto" w:fill="FFFFFF"/>
        <w:ind w:firstLine="567"/>
        <w:jc w:val="both"/>
        <w:rPr>
          <w:sz w:val="20"/>
          <w:szCs w:val="20"/>
          <w:lang w:val="en-US"/>
        </w:rPr>
      </w:pPr>
      <w:r w:rsidRPr="00BA5143">
        <w:rPr>
          <w:sz w:val="20"/>
          <w:szCs w:val="20"/>
          <w:lang w:val="en-US"/>
        </w:rPr>
        <w:t xml:space="preserve"> </w:t>
      </w:r>
      <w:r w:rsidR="00784AA7" w:rsidRPr="00BA5143">
        <w:rPr>
          <w:sz w:val="20"/>
          <w:szCs w:val="20"/>
          <w:lang w:val="en-US"/>
        </w:rPr>
        <w:t>* The article of other assets consists of:</w:t>
      </w:r>
    </w:p>
    <w:p w:rsidR="00784AA7" w:rsidRPr="00BA5143" w:rsidRDefault="00784AA7" w:rsidP="00784AA7">
      <w:pPr>
        <w:shd w:val="clear" w:color="auto" w:fill="FFFFFF"/>
        <w:ind w:firstLine="567"/>
        <w:jc w:val="both"/>
        <w:rPr>
          <w:sz w:val="20"/>
          <w:szCs w:val="20"/>
          <w:lang w:val="en-US"/>
        </w:rPr>
      </w:pPr>
      <w:r w:rsidRPr="00BA5143">
        <w:rPr>
          <w:sz w:val="20"/>
          <w:szCs w:val="20"/>
          <w:lang w:val="en-US"/>
        </w:rPr>
        <w:t>1. Inventories of material values in a statement - 19 thousand UAH.</w:t>
      </w:r>
    </w:p>
    <w:p w:rsidR="00784AA7" w:rsidRPr="00BA5143" w:rsidRDefault="00784AA7" w:rsidP="00784AA7">
      <w:pPr>
        <w:shd w:val="clear" w:color="auto" w:fill="FFFFFF"/>
        <w:ind w:firstLine="567"/>
        <w:jc w:val="both"/>
        <w:rPr>
          <w:sz w:val="20"/>
          <w:szCs w:val="20"/>
          <w:lang w:val="en-US"/>
        </w:rPr>
      </w:pPr>
      <w:r w:rsidRPr="00BA5143">
        <w:rPr>
          <w:sz w:val="20"/>
          <w:szCs w:val="20"/>
          <w:lang w:val="en-US"/>
        </w:rPr>
        <w:t>2. Expenses of future periods - 182 thousand UAH.</w:t>
      </w:r>
    </w:p>
    <w:p w:rsidR="00784AA7" w:rsidRPr="00BA5143" w:rsidRDefault="00784AA7" w:rsidP="00784AA7">
      <w:pPr>
        <w:shd w:val="clear" w:color="auto" w:fill="FFFFFF"/>
        <w:ind w:firstLine="567"/>
        <w:jc w:val="both"/>
        <w:rPr>
          <w:sz w:val="20"/>
          <w:szCs w:val="20"/>
          <w:lang w:val="en-US"/>
        </w:rPr>
      </w:pPr>
      <w:r w:rsidRPr="00BA5143">
        <w:rPr>
          <w:sz w:val="20"/>
          <w:szCs w:val="20"/>
          <w:lang w:val="en-US"/>
        </w:rPr>
        <w:t>3. Accounts receivable for compulsory payments, except for income tax - 582 thousand UAH.</w:t>
      </w:r>
    </w:p>
    <w:p w:rsidR="005B3011" w:rsidRPr="00BA5143" w:rsidRDefault="00784AA7" w:rsidP="00784AA7">
      <w:pPr>
        <w:shd w:val="clear" w:color="auto" w:fill="FFFFFF"/>
        <w:ind w:firstLine="567"/>
        <w:jc w:val="both"/>
        <w:rPr>
          <w:sz w:val="20"/>
          <w:szCs w:val="20"/>
          <w:lang w:val="en-US"/>
        </w:rPr>
      </w:pPr>
      <w:r w:rsidRPr="00BA5143">
        <w:rPr>
          <w:sz w:val="20"/>
          <w:szCs w:val="20"/>
          <w:lang w:val="en-US"/>
        </w:rPr>
        <w:t>4. Other accrued income - 22 thousand UAH.</w:t>
      </w:r>
    </w:p>
    <w:p w:rsidR="005B3011" w:rsidRPr="00BA5143" w:rsidRDefault="005B3011" w:rsidP="005B3011">
      <w:pPr>
        <w:spacing w:line="240" w:lineRule="exact"/>
        <w:jc w:val="both"/>
        <w:rPr>
          <w:b/>
          <w:highlight w:val="yellow"/>
          <w:lang w:val="en-US"/>
        </w:rPr>
      </w:pPr>
    </w:p>
    <w:p w:rsidR="005B3011" w:rsidRPr="00BA5143" w:rsidRDefault="006B715A" w:rsidP="005B3011">
      <w:pPr>
        <w:shd w:val="clear" w:color="auto" w:fill="FFFFFF"/>
        <w:rPr>
          <w:b/>
          <w:lang w:val="en-US"/>
        </w:rPr>
      </w:pPr>
      <w:r w:rsidRPr="00BA5143">
        <w:rPr>
          <w:b/>
          <w:lang w:val="en-US"/>
        </w:rPr>
        <w:t>Table</w:t>
      </w:r>
      <w:r w:rsidR="005B3011" w:rsidRPr="00BA5143">
        <w:rPr>
          <w:b/>
          <w:lang w:val="en-US"/>
        </w:rPr>
        <w:t xml:space="preserve"> 1</w:t>
      </w:r>
      <w:r w:rsidR="002D5B52" w:rsidRPr="00BA5143">
        <w:rPr>
          <w:b/>
          <w:lang w:val="en-US"/>
        </w:rPr>
        <w:t>0</w:t>
      </w:r>
      <w:r w:rsidR="005B3011" w:rsidRPr="00BA5143">
        <w:rPr>
          <w:b/>
          <w:lang w:val="en-US"/>
        </w:rPr>
        <w:t xml:space="preserve">.2. </w:t>
      </w:r>
      <w:r w:rsidRPr="00BA5143">
        <w:rPr>
          <w:b/>
          <w:lang w:val="en-US"/>
        </w:rPr>
        <w:t>Analysis of changes in provisions for impairment of other assets for 2018</w:t>
      </w:r>
    </w:p>
    <w:p w:rsidR="006B715A" w:rsidRPr="00BA5143" w:rsidRDefault="006B715A" w:rsidP="006B715A">
      <w:pPr>
        <w:shd w:val="clear" w:color="auto" w:fill="FFFFFF"/>
        <w:jc w:val="right"/>
        <w:rPr>
          <w:b/>
          <w:lang w:val="en-US"/>
        </w:rPr>
      </w:pPr>
      <w:r w:rsidRPr="00BA5143">
        <w:rPr>
          <w:lang w:val="en-US"/>
        </w:rPr>
        <w:t>(ths. UAH.)</w:t>
      </w:r>
    </w:p>
    <w:tbl>
      <w:tblPr>
        <w:tblW w:w="9402" w:type="dxa"/>
        <w:tblInd w:w="93" w:type="dxa"/>
        <w:tblLook w:val="04A0"/>
      </w:tblPr>
      <w:tblGrid>
        <w:gridCol w:w="774"/>
        <w:gridCol w:w="3676"/>
        <w:gridCol w:w="1481"/>
        <w:gridCol w:w="1367"/>
        <w:gridCol w:w="972"/>
        <w:gridCol w:w="1132"/>
      </w:tblGrid>
      <w:tr w:rsidR="006B715A" w:rsidRPr="00BA5143" w:rsidTr="006B715A">
        <w:trPr>
          <w:trHeight w:val="755"/>
        </w:trPr>
        <w:tc>
          <w:tcPr>
            <w:tcW w:w="774" w:type="dxa"/>
            <w:tcBorders>
              <w:top w:val="single" w:sz="8" w:space="0" w:color="auto"/>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bCs/>
                <w:sz w:val="20"/>
                <w:lang w:val="en-US"/>
              </w:rPr>
              <w:t>Line</w:t>
            </w:r>
          </w:p>
        </w:tc>
        <w:tc>
          <w:tcPr>
            <w:tcW w:w="3676" w:type="dxa"/>
            <w:tcBorders>
              <w:top w:val="single" w:sz="8" w:space="0" w:color="auto"/>
              <w:left w:val="single" w:sz="4" w:space="0" w:color="000000"/>
              <w:bottom w:val="single" w:sz="4" w:space="0" w:color="000000"/>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Reserves movement</w:t>
            </w:r>
          </w:p>
        </w:tc>
        <w:tc>
          <w:tcPr>
            <w:tcW w:w="1481" w:type="dxa"/>
            <w:tcBorders>
              <w:top w:val="single" w:sz="4" w:space="0" w:color="auto"/>
              <w:left w:val="single" w:sz="4" w:space="0" w:color="auto"/>
              <w:bottom w:val="nil"/>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Accounts Receivable for Acquisition of Assets</w:t>
            </w:r>
          </w:p>
        </w:tc>
        <w:tc>
          <w:tcPr>
            <w:tcW w:w="1367"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Prepayment for services</w:t>
            </w:r>
          </w:p>
        </w:tc>
        <w:tc>
          <w:tcPr>
            <w:tcW w:w="972" w:type="dxa"/>
            <w:tcBorders>
              <w:top w:val="single" w:sz="8" w:space="0" w:color="auto"/>
              <w:left w:val="single" w:sz="4" w:space="0" w:color="auto"/>
              <w:bottom w:val="single" w:sz="4" w:space="0" w:color="000000"/>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Other assets</w:t>
            </w:r>
          </w:p>
        </w:tc>
        <w:tc>
          <w:tcPr>
            <w:tcW w:w="1132" w:type="dxa"/>
            <w:tcBorders>
              <w:top w:val="single" w:sz="8" w:space="0" w:color="auto"/>
              <w:left w:val="single" w:sz="4" w:space="0" w:color="auto"/>
              <w:bottom w:val="single" w:sz="4" w:space="0" w:color="000000"/>
              <w:right w:val="single" w:sz="8" w:space="0" w:color="auto"/>
            </w:tcBorders>
            <w:vAlign w:val="center"/>
            <w:hideMark/>
          </w:tcPr>
          <w:p w:rsidR="006B715A" w:rsidRPr="00BA5143" w:rsidRDefault="006B715A">
            <w:pPr>
              <w:jc w:val="center"/>
              <w:rPr>
                <w:sz w:val="20"/>
                <w:szCs w:val="20"/>
                <w:lang w:val="en-US"/>
              </w:rPr>
            </w:pPr>
            <w:r w:rsidRPr="00BA5143">
              <w:rPr>
                <w:sz w:val="20"/>
                <w:szCs w:val="20"/>
                <w:lang w:val="en-US"/>
              </w:rPr>
              <w:t>Total</w:t>
            </w:r>
          </w:p>
        </w:tc>
      </w:tr>
      <w:tr w:rsidR="006B715A" w:rsidRPr="00BA5143" w:rsidTr="006B715A">
        <w:trPr>
          <w:trHeight w:val="255"/>
        </w:trPr>
        <w:tc>
          <w:tcPr>
            <w:tcW w:w="774" w:type="dxa"/>
            <w:tcBorders>
              <w:top w:val="nil"/>
              <w:left w:val="single" w:sz="8" w:space="0" w:color="auto"/>
              <w:bottom w:val="single" w:sz="4" w:space="0" w:color="000000"/>
              <w:right w:val="single" w:sz="4" w:space="0" w:color="000000"/>
            </w:tcBorders>
            <w:vAlign w:val="bottom"/>
            <w:hideMark/>
          </w:tcPr>
          <w:p w:rsidR="006B715A" w:rsidRPr="00BA5143" w:rsidRDefault="006B715A">
            <w:pPr>
              <w:jc w:val="center"/>
              <w:rPr>
                <w:sz w:val="20"/>
                <w:szCs w:val="20"/>
                <w:lang w:val="en-US"/>
              </w:rPr>
            </w:pPr>
            <w:r w:rsidRPr="00BA5143">
              <w:rPr>
                <w:sz w:val="20"/>
                <w:szCs w:val="20"/>
                <w:lang w:val="en-US"/>
              </w:rPr>
              <w:t>1 </w:t>
            </w:r>
          </w:p>
        </w:tc>
        <w:tc>
          <w:tcPr>
            <w:tcW w:w="3676" w:type="dxa"/>
            <w:tcBorders>
              <w:top w:val="nil"/>
              <w:left w:val="nil"/>
              <w:bottom w:val="single" w:sz="4" w:space="0" w:color="000000"/>
              <w:right w:val="single" w:sz="4" w:space="0" w:color="auto"/>
            </w:tcBorders>
            <w:vAlign w:val="bottom"/>
            <w:hideMark/>
          </w:tcPr>
          <w:p w:rsidR="006B715A" w:rsidRPr="00BA5143" w:rsidRDefault="006B715A">
            <w:pPr>
              <w:jc w:val="center"/>
              <w:rPr>
                <w:sz w:val="20"/>
                <w:szCs w:val="20"/>
                <w:lang w:val="en-US"/>
              </w:rPr>
            </w:pPr>
            <w:r w:rsidRPr="00BA5143">
              <w:rPr>
                <w:sz w:val="20"/>
                <w:szCs w:val="20"/>
                <w:lang w:val="en-US"/>
              </w:rPr>
              <w:t>2 </w:t>
            </w:r>
          </w:p>
        </w:tc>
        <w:tc>
          <w:tcPr>
            <w:tcW w:w="1481" w:type="dxa"/>
            <w:tcBorders>
              <w:top w:val="single" w:sz="4" w:space="0" w:color="auto"/>
              <w:left w:val="single" w:sz="4" w:space="0" w:color="auto"/>
              <w:bottom w:val="single" w:sz="4" w:space="0" w:color="auto"/>
              <w:right w:val="single" w:sz="4" w:space="0" w:color="auto"/>
            </w:tcBorders>
            <w:hideMark/>
          </w:tcPr>
          <w:p w:rsidR="006B715A" w:rsidRPr="00BA5143" w:rsidRDefault="006B715A">
            <w:pPr>
              <w:jc w:val="center"/>
              <w:rPr>
                <w:sz w:val="20"/>
                <w:szCs w:val="20"/>
                <w:lang w:val="en-US"/>
              </w:rPr>
            </w:pPr>
            <w:r w:rsidRPr="00BA5143">
              <w:rPr>
                <w:sz w:val="20"/>
                <w:szCs w:val="20"/>
                <w:lang w:val="en-US"/>
              </w:rPr>
              <w:t>3</w:t>
            </w:r>
          </w:p>
        </w:tc>
        <w:tc>
          <w:tcPr>
            <w:tcW w:w="1367" w:type="dxa"/>
            <w:tcBorders>
              <w:top w:val="single" w:sz="4" w:space="0" w:color="auto"/>
              <w:left w:val="single" w:sz="4" w:space="0" w:color="auto"/>
              <w:bottom w:val="single" w:sz="4" w:space="0" w:color="auto"/>
              <w:right w:val="single" w:sz="4" w:space="0" w:color="auto"/>
            </w:tcBorders>
            <w:vAlign w:val="bottom"/>
            <w:hideMark/>
          </w:tcPr>
          <w:p w:rsidR="006B715A" w:rsidRPr="00BA5143" w:rsidRDefault="006B715A">
            <w:pPr>
              <w:jc w:val="center"/>
              <w:rPr>
                <w:sz w:val="20"/>
                <w:szCs w:val="20"/>
                <w:lang w:val="en-US"/>
              </w:rPr>
            </w:pPr>
            <w:r w:rsidRPr="00BA5143">
              <w:rPr>
                <w:sz w:val="20"/>
                <w:szCs w:val="20"/>
                <w:lang w:val="en-US"/>
              </w:rPr>
              <w:t>4</w:t>
            </w:r>
          </w:p>
        </w:tc>
        <w:tc>
          <w:tcPr>
            <w:tcW w:w="972" w:type="dxa"/>
            <w:tcBorders>
              <w:top w:val="nil"/>
              <w:left w:val="single" w:sz="4" w:space="0" w:color="auto"/>
              <w:bottom w:val="single" w:sz="4" w:space="0" w:color="000000"/>
              <w:right w:val="single" w:sz="4" w:space="0" w:color="auto"/>
            </w:tcBorders>
            <w:hideMark/>
          </w:tcPr>
          <w:p w:rsidR="006B715A" w:rsidRPr="00BA5143" w:rsidRDefault="006B715A">
            <w:pPr>
              <w:jc w:val="center"/>
              <w:rPr>
                <w:sz w:val="20"/>
                <w:szCs w:val="20"/>
                <w:lang w:val="en-US"/>
              </w:rPr>
            </w:pPr>
            <w:r w:rsidRPr="00BA5143">
              <w:rPr>
                <w:sz w:val="20"/>
                <w:szCs w:val="20"/>
                <w:lang w:val="en-US"/>
              </w:rPr>
              <w:t>5</w:t>
            </w:r>
          </w:p>
        </w:tc>
        <w:tc>
          <w:tcPr>
            <w:tcW w:w="1132" w:type="dxa"/>
            <w:tcBorders>
              <w:top w:val="nil"/>
              <w:left w:val="single" w:sz="4" w:space="0" w:color="auto"/>
              <w:bottom w:val="single" w:sz="4" w:space="0" w:color="000000"/>
              <w:right w:val="single" w:sz="8" w:space="0" w:color="auto"/>
            </w:tcBorders>
            <w:vAlign w:val="bottom"/>
            <w:hideMark/>
          </w:tcPr>
          <w:p w:rsidR="006B715A" w:rsidRPr="00BA5143" w:rsidRDefault="006B715A">
            <w:pPr>
              <w:jc w:val="center"/>
              <w:rPr>
                <w:sz w:val="20"/>
                <w:szCs w:val="20"/>
                <w:lang w:val="en-US"/>
              </w:rPr>
            </w:pPr>
            <w:r w:rsidRPr="00BA5143">
              <w:rPr>
                <w:sz w:val="20"/>
                <w:szCs w:val="20"/>
                <w:lang w:val="en-US"/>
              </w:rPr>
              <w:t>6 </w:t>
            </w:r>
          </w:p>
        </w:tc>
      </w:tr>
      <w:tr w:rsidR="006B715A" w:rsidRPr="00BA5143" w:rsidTr="006B715A">
        <w:trPr>
          <w:trHeight w:val="181"/>
        </w:trPr>
        <w:tc>
          <w:tcPr>
            <w:tcW w:w="774" w:type="dxa"/>
            <w:tcBorders>
              <w:top w:val="nil"/>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1 </w:t>
            </w:r>
          </w:p>
        </w:tc>
        <w:tc>
          <w:tcPr>
            <w:tcW w:w="3676" w:type="dxa"/>
            <w:tcBorders>
              <w:top w:val="nil"/>
              <w:left w:val="nil"/>
              <w:bottom w:val="single" w:sz="4" w:space="0" w:color="000000"/>
              <w:right w:val="single" w:sz="4" w:space="0" w:color="auto"/>
            </w:tcBorders>
            <w:hideMark/>
          </w:tcPr>
          <w:p w:rsidR="006B715A" w:rsidRPr="00BA5143" w:rsidRDefault="006B715A">
            <w:pPr>
              <w:rPr>
                <w:sz w:val="20"/>
                <w:szCs w:val="20"/>
                <w:lang w:val="en-US"/>
              </w:rPr>
            </w:pPr>
            <w:r w:rsidRPr="00BA5143">
              <w:rPr>
                <w:sz w:val="20"/>
                <w:szCs w:val="20"/>
                <w:lang w:val="en-US"/>
              </w:rPr>
              <w:t>Balance as of January 1, 2018</w:t>
            </w:r>
          </w:p>
        </w:tc>
        <w:tc>
          <w:tcPr>
            <w:tcW w:w="1481"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w:t>
            </w:r>
          </w:p>
        </w:tc>
        <w:tc>
          <w:tcPr>
            <w:tcW w:w="1367"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(43)</w:t>
            </w:r>
          </w:p>
        </w:tc>
        <w:tc>
          <w:tcPr>
            <w:tcW w:w="972" w:type="dxa"/>
            <w:tcBorders>
              <w:top w:val="nil"/>
              <w:left w:val="single" w:sz="4" w:space="0" w:color="auto"/>
              <w:bottom w:val="single" w:sz="4" w:space="0" w:color="000000"/>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(22)</w:t>
            </w:r>
          </w:p>
        </w:tc>
        <w:tc>
          <w:tcPr>
            <w:tcW w:w="1132" w:type="dxa"/>
            <w:tcBorders>
              <w:top w:val="nil"/>
              <w:left w:val="single" w:sz="4" w:space="0" w:color="auto"/>
              <w:bottom w:val="single" w:sz="4" w:space="0" w:color="000000"/>
              <w:right w:val="single" w:sz="8" w:space="0" w:color="auto"/>
            </w:tcBorders>
            <w:vAlign w:val="center"/>
            <w:hideMark/>
          </w:tcPr>
          <w:p w:rsidR="006B715A" w:rsidRPr="00BA5143" w:rsidRDefault="006B715A">
            <w:pPr>
              <w:jc w:val="right"/>
              <w:rPr>
                <w:sz w:val="20"/>
                <w:szCs w:val="20"/>
                <w:lang w:val="en-US"/>
              </w:rPr>
            </w:pPr>
            <w:r w:rsidRPr="00BA5143">
              <w:rPr>
                <w:sz w:val="20"/>
                <w:szCs w:val="20"/>
                <w:lang w:val="en-US"/>
              </w:rPr>
              <w:t>(65)</w:t>
            </w:r>
          </w:p>
        </w:tc>
      </w:tr>
      <w:tr w:rsidR="006B715A" w:rsidRPr="00BA5143" w:rsidTr="006B715A">
        <w:trPr>
          <w:trHeight w:val="181"/>
        </w:trPr>
        <w:tc>
          <w:tcPr>
            <w:tcW w:w="774" w:type="dxa"/>
            <w:tcBorders>
              <w:top w:val="nil"/>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2</w:t>
            </w:r>
          </w:p>
        </w:tc>
        <w:tc>
          <w:tcPr>
            <w:tcW w:w="3676" w:type="dxa"/>
            <w:tcBorders>
              <w:top w:val="single" w:sz="4" w:space="0" w:color="000000"/>
              <w:left w:val="nil"/>
              <w:bottom w:val="single" w:sz="4" w:space="0" w:color="000000"/>
              <w:right w:val="single" w:sz="4" w:space="0" w:color="auto"/>
            </w:tcBorders>
            <w:hideMark/>
          </w:tcPr>
          <w:p w:rsidR="006B715A" w:rsidRPr="00BA5143" w:rsidRDefault="006B715A">
            <w:pPr>
              <w:rPr>
                <w:sz w:val="20"/>
                <w:szCs w:val="20"/>
                <w:lang w:val="en-US"/>
              </w:rPr>
            </w:pPr>
            <w:r w:rsidRPr="00BA5143">
              <w:rPr>
                <w:sz w:val="20"/>
                <w:szCs w:val="20"/>
                <w:lang w:val="en-US"/>
              </w:rPr>
              <w:t>(Increase) / decrease in provision for impairment during the period</w:t>
            </w:r>
          </w:p>
        </w:tc>
        <w:tc>
          <w:tcPr>
            <w:tcW w:w="1481"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(1)</w:t>
            </w:r>
          </w:p>
        </w:tc>
        <w:tc>
          <w:tcPr>
            <w:tcW w:w="1367"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(83)</w:t>
            </w:r>
          </w:p>
        </w:tc>
        <w:tc>
          <w:tcPr>
            <w:tcW w:w="972" w:type="dxa"/>
            <w:tcBorders>
              <w:top w:val="nil"/>
              <w:left w:val="single" w:sz="4" w:space="0" w:color="auto"/>
              <w:bottom w:val="single" w:sz="4" w:space="0" w:color="000000"/>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w:t>
            </w:r>
          </w:p>
        </w:tc>
        <w:tc>
          <w:tcPr>
            <w:tcW w:w="1132" w:type="dxa"/>
            <w:tcBorders>
              <w:top w:val="nil"/>
              <w:left w:val="single" w:sz="4" w:space="0" w:color="auto"/>
              <w:bottom w:val="single" w:sz="4" w:space="0" w:color="000000"/>
              <w:right w:val="single" w:sz="8" w:space="0" w:color="auto"/>
            </w:tcBorders>
            <w:vAlign w:val="center"/>
            <w:hideMark/>
          </w:tcPr>
          <w:p w:rsidR="006B715A" w:rsidRPr="00BA5143" w:rsidRDefault="006B715A">
            <w:pPr>
              <w:jc w:val="right"/>
              <w:rPr>
                <w:sz w:val="20"/>
                <w:szCs w:val="20"/>
                <w:lang w:val="en-US"/>
              </w:rPr>
            </w:pPr>
            <w:r w:rsidRPr="00BA5143">
              <w:rPr>
                <w:sz w:val="20"/>
                <w:szCs w:val="20"/>
                <w:lang w:val="en-US"/>
              </w:rPr>
              <w:t>(84)</w:t>
            </w:r>
          </w:p>
        </w:tc>
      </w:tr>
      <w:tr w:rsidR="006B715A" w:rsidRPr="00BA5143" w:rsidTr="006B715A">
        <w:trPr>
          <w:trHeight w:val="181"/>
        </w:trPr>
        <w:tc>
          <w:tcPr>
            <w:tcW w:w="774" w:type="dxa"/>
            <w:tcBorders>
              <w:top w:val="single" w:sz="4" w:space="0" w:color="000000"/>
              <w:left w:val="single" w:sz="8" w:space="0" w:color="auto"/>
              <w:bottom w:val="single" w:sz="8" w:space="0" w:color="auto"/>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3</w:t>
            </w:r>
          </w:p>
        </w:tc>
        <w:tc>
          <w:tcPr>
            <w:tcW w:w="3676" w:type="dxa"/>
            <w:tcBorders>
              <w:top w:val="nil"/>
              <w:left w:val="nil"/>
              <w:bottom w:val="single" w:sz="8" w:space="0" w:color="auto"/>
              <w:right w:val="single" w:sz="4" w:space="0" w:color="auto"/>
            </w:tcBorders>
            <w:hideMark/>
          </w:tcPr>
          <w:p w:rsidR="006B715A" w:rsidRPr="00BA5143" w:rsidRDefault="006B715A">
            <w:pPr>
              <w:rPr>
                <w:sz w:val="20"/>
                <w:szCs w:val="20"/>
                <w:lang w:val="en-US"/>
              </w:rPr>
            </w:pPr>
            <w:r w:rsidRPr="00BA5143">
              <w:rPr>
                <w:sz w:val="20"/>
                <w:szCs w:val="20"/>
                <w:lang w:val="en-US"/>
              </w:rPr>
              <w:t>Balance at the end of December 31, 2018</w:t>
            </w:r>
          </w:p>
        </w:tc>
        <w:tc>
          <w:tcPr>
            <w:tcW w:w="1481"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(1)</w:t>
            </w:r>
          </w:p>
        </w:tc>
        <w:tc>
          <w:tcPr>
            <w:tcW w:w="1367"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(126)</w:t>
            </w:r>
          </w:p>
        </w:tc>
        <w:tc>
          <w:tcPr>
            <w:tcW w:w="972" w:type="dxa"/>
            <w:tcBorders>
              <w:top w:val="nil"/>
              <w:left w:val="single" w:sz="4" w:space="0" w:color="auto"/>
              <w:bottom w:val="single" w:sz="8"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(22)</w:t>
            </w:r>
          </w:p>
        </w:tc>
        <w:tc>
          <w:tcPr>
            <w:tcW w:w="1132" w:type="dxa"/>
            <w:tcBorders>
              <w:top w:val="nil"/>
              <w:left w:val="single" w:sz="4" w:space="0" w:color="auto"/>
              <w:bottom w:val="single" w:sz="8" w:space="0" w:color="auto"/>
              <w:right w:val="single" w:sz="8" w:space="0" w:color="auto"/>
            </w:tcBorders>
            <w:vAlign w:val="center"/>
            <w:hideMark/>
          </w:tcPr>
          <w:p w:rsidR="006B715A" w:rsidRPr="00BA5143" w:rsidRDefault="006B715A">
            <w:pPr>
              <w:jc w:val="right"/>
              <w:rPr>
                <w:sz w:val="20"/>
                <w:szCs w:val="20"/>
                <w:lang w:val="en-US"/>
              </w:rPr>
            </w:pPr>
            <w:r w:rsidRPr="00BA5143">
              <w:rPr>
                <w:sz w:val="20"/>
                <w:szCs w:val="20"/>
                <w:lang w:val="en-US"/>
              </w:rPr>
              <w:t>(149)</w:t>
            </w:r>
          </w:p>
        </w:tc>
      </w:tr>
    </w:tbl>
    <w:p w:rsidR="005B3011" w:rsidRPr="00BA5143" w:rsidRDefault="005B3011" w:rsidP="00CD7595">
      <w:pPr>
        <w:shd w:val="clear" w:color="auto" w:fill="FFFFFF"/>
        <w:rPr>
          <w:b/>
          <w:lang w:val="en-US"/>
        </w:rPr>
      </w:pPr>
    </w:p>
    <w:p w:rsidR="00201937" w:rsidRPr="00BA5143" w:rsidRDefault="00201937" w:rsidP="006B715A">
      <w:pPr>
        <w:shd w:val="clear" w:color="auto" w:fill="FFFFFF"/>
        <w:jc w:val="right"/>
        <w:rPr>
          <w:b/>
          <w:lang w:val="en-US"/>
        </w:rPr>
      </w:pPr>
      <w:r w:rsidRPr="00BA5143">
        <w:rPr>
          <w:b/>
          <w:lang w:val="en-US"/>
        </w:rPr>
        <w:t>Table 10.3.</w:t>
      </w:r>
      <w:r w:rsidR="00036561" w:rsidRPr="00BA5143">
        <w:rPr>
          <w:b/>
          <w:lang w:val="en-US"/>
        </w:rPr>
        <w:t xml:space="preserve"> </w:t>
      </w:r>
      <w:r w:rsidR="006B715A" w:rsidRPr="00BA5143">
        <w:rPr>
          <w:b/>
          <w:lang w:val="en-US"/>
        </w:rPr>
        <w:t xml:space="preserve">Analysis of changes in provisions for impairment of other assets for 2017 </w:t>
      </w:r>
    </w:p>
    <w:p w:rsidR="006B715A" w:rsidRPr="00BA5143" w:rsidRDefault="006B715A" w:rsidP="006B715A">
      <w:pPr>
        <w:shd w:val="clear" w:color="auto" w:fill="FFFFFF"/>
        <w:jc w:val="right"/>
        <w:rPr>
          <w:b/>
          <w:lang w:val="en-US"/>
        </w:rPr>
      </w:pPr>
      <w:r w:rsidRPr="00BA5143">
        <w:rPr>
          <w:lang w:val="en-US"/>
        </w:rPr>
        <w:t>(ths. UAH.)</w:t>
      </w:r>
    </w:p>
    <w:tbl>
      <w:tblPr>
        <w:tblW w:w="9402" w:type="dxa"/>
        <w:tblInd w:w="93" w:type="dxa"/>
        <w:tblLook w:val="04A0"/>
      </w:tblPr>
      <w:tblGrid>
        <w:gridCol w:w="776"/>
        <w:gridCol w:w="4793"/>
        <w:gridCol w:w="1394"/>
        <w:gridCol w:w="1153"/>
        <w:gridCol w:w="1286"/>
      </w:tblGrid>
      <w:tr w:rsidR="006B715A" w:rsidRPr="00BA5143" w:rsidTr="006B715A">
        <w:trPr>
          <w:trHeight w:val="755"/>
        </w:trPr>
        <w:tc>
          <w:tcPr>
            <w:tcW w:w="776" w:type="dxa"/>
            <w:tcBorders>
              <w:top w:val="single" w:sz="8" w:space="0" w:color="auto"/>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bCs/>
                <w:sz w:val="20"/>
                <w:lang w:val="en-US"/>
              </w:rPr>
              <w:t>Line</w:t>
            </w:r>
          </w:p>
        </w:tc>
        <w:tc>
          <w:tcPr>
            <w:tcW w:w="4793" w:type="dxa"/>
            <w:tcBorders>
              <w:top w:val="single" w:sz="8" w:space="0" w:color="auto"/>
              <w:left w:val="single" w:sz="4" w:space="0" w:color="000000"/>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Reserves movement</w:t>
            </w:r>
          </w:p>
        </w:tc>
        <w:tc>
          <w:tcPr>
            <w:tcW w:w="1394" w:type="dxa"/>
            <w:tcBorders>
              <w:top w:val="single" w:sz="8" w:space="0" w:color="auto"/>
              <w:left w:val="single" w:sz="4" w:space="0" w:color="000000"/>
              <w:bottom w:val="single" w:sz="4" w:space="0" w:color="000000"/>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Prepayment for services</w:t>
            </w:r>
          </w:p>
        </w:tc>
        <w:tc>
          <w:tcPr>
            <w:tcW w:w="1153" w:type="dxa"/>
            <w:tcBorders>
              <w:top w:val="single" w:sz="4" w:space="0" w:color="auto"/>
              <w:left w:val="single" w:sz="4" w:space="0" w:color="auto"/>
              <w:bottom w:val="nil"/>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Other assets</w:t>
            </w:r>
          </w:p>
        </w:tc>
        <w:tc>
          <w:tcPr>
            <w:tcW w:w="128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Total</w:t>
            </w:r>
          </w:p>
        </w:tc>
      </w:tr>
      <w:tr w:rsidR="006B715A" w:rsidRPr="00BA5143" w:rsidTr="006B715A">
        <w:trPr>
          <w:trHeight w:val="255"/>
        </w:trPr>
        <w:tc>
          <w:tcPr>
            <w:tcW w:w="776" w:type="dxa"/>
            <w:tcBorders>
              <w:top w:val="nil"/>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1 </w:t>
            </w:r>
          </w:p>
        </w:tc>
        <w:tc>
          <w:tcPr>
            <w:tcW w:w="4793" w:type="dxa"/>
            <w:tcBorders>
              <w:top w:val="nil"/>
              <w:left w:val="nil"/>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2 </w:t>
            </w:r>
          </w:p>
        </w:tc>
        <w:tc>
          <w:tcPr>
            <w:tcW w:w="1394" w:type="dxa"/>
            <w:tcBorders>
              <w:top w:val="nil"/>
              <w:left w:val="nil"/>
              <w:bottom w:val="single" w:sz="4" w:space="0" w:color="000000"/>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3 </w:t>
            </w:r>
          </w:p>
        </w:tc>
        <w:tc>
          <w:tcPr>
            <w:tcW w:w="1153" w:type="dxa"/>
            <w:tcBorders>
              <w:top w:val="single" w:sz="4" w:space="0" w:color="auto"/>
              <w:left w:val="single" w:sz="4" w:space="0" w:color="auto"/>
              <w:bottom w:val="single" w:sz="4" w:space="0" w:color="auto"/>
              <w:right w:val="single" w:sz="4" w:space="0" w:color="auto"/>
            </w:tcBorders>
            <w:vAlign w:val="center"/>
          </w:tcPr>
          <w:p w:rsidR="006B715A" w:rsidRPr="00BA5143" w:rsidRDefault="006B715A">
            <w:pPr>
              <w:jc w:val="center"/>
              <w:rPr>
                <w:sz w:val="20"/>
                <w:szCs w:val="20"/>
                <w:lang w:val="en-US"/>
              </w:rPr>
            </w:pPr>
          </w:p>
        </w:tc>
        <w:tc>
          <w:tcPr>
            <w:tcW w:w="128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4 </w:t>
            </w:r>
          </w:p>
        </w:tc>
      </w:tr>
      <w:tr w:rsidR="006B715A" w:rsidRPr="00BA5143" w:rsidTr="006B715A">
        <w:trPr>
          <w:trHeight w:val="181"/>
        </w:trPr>
        <w:tc>
          <w:tcPr>
            <w:tcW w:w="776" w:type="dxa"/>
            <w:tcBorders>
              <w:top w:val="nil"/>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1 </w:t>
            </w:r>
          </w:p>
        </w:tc>
        <w:tc>
          <w:tcPr>
            <w:tcW w:w="4793" w:type="dxa"/>
            <w:tcBorders>
              <w:top w:val="nil"/>
              <w:left w:val="nil"/>
              <w:bottom w:val="single" w:sz="4" w:space="0" w:color="000000"/>
              <w:right w:val="single" w:sz="4" w:space="0" w:color="000000"/>
            </w:tcBorders>
            <w:hideMark/>
          </w:tcPr>
          <w:p w:rsidR="006B715A" w:rsidRPr="00BA5143" w:rsidRDefault="006B715A">
            <w:pPr>
              <w:rPr>
                <w:sz w:val="20"/>
                <w:szCs w:val="20"/>
                <w:lang w:val="en-US"/>
              </w:rPr>
            </w:pPr>
            <w:r w:rsidRPr="00BA5143">
              <w:rPr>
                <w:sz w:val="20"/>
                <w:szCs w:val="20"/>
                <w:lang w:val="en-US"/>
              </w:rPr>
              <w:t>Balance as of January 1, 2017</w:t>
            </w:r>
          </w:p>
        </w:tc>
        <w:tc>
          <w:tcPr>
            <w:tcW w:w="1394" w:type="dxa"/>
            <w:tcBorders>
              <w:top w:val="nil"/>
              <w:left w:val="nil"/>
              <w:bottom w:val="single" w:sz="4" w:space="0" w:color="000000"/>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w:t>
            </w:r>
          </w:p>
        </w:tc>
        <w:tc>
          <w:tcPr>
            <w:tcW w:w="1153"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(22)</w:t>
            </w:r>
          </w:p>
        </w:tc>
        <w:tc>
          <w:tcPr>
            <w:tcW w:w="128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(22)</w:t>
            </w:r>
          </w:p>
        </w:tc>
      </w:tr>
      <w:tr w:rsidR="006B715A" w:rsidRPr="00BA5143" w:rsidTr="006B715A">
        <w:trPr>
          <w:trHeight w:val="181"/>
        </w:trPr>
        <w:tc>
          <w:tcPr>
            <w:tcW w:w="776" w:type="dxa"/>
            <w:tcBorders>
              <w:top w:val="nil"/>
              <w:left w:val="single" w:sz="8" w:space="0" w:color="auto"/>
              <w:bottom w:val="single" w:sz="4" w:space="0" w:color="000000"/>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2</w:t>
            </w:r>
          </w:p>
        </w:tc>
        <w:tc>
          <w:tcPr>
            <w:tcW w:w="4793" w:type="dxa"/>
            <w:tcBorders>
              <w:top w:val="single" w:sz="4" w:space="0" w:color="000000"/>
              <w:left w:val="nil"/>
              <w:bottom w:val="single" w:sz="4" w:space="0" w:color="000000"/>
              <w:right w:val="single" w:sz="4" w:space="0" w:color="000000"/>
            </w:tcBorders>
            <w:hideMark/>
          </w:tcPr>
          <w:p w:rsidR="006B715A" w:rsidRPr="00BA5143" w:rsidRDefault="006B715A">
            <w:pPr>
              <w:rPr>
                <w:sz w:val="20"/>
                <w:szCs w:val="20"/>
                <w:lang w:val="en-US"/>
              </w:rPr>
            </w:pPr>
            <w:r w:rsidRPr="00BA5143">
              <w:rPr>
                <w:sz w:val="20"/>
                <w:szCs w:val="20"/>
                <w:lang w:val="en-US"/>
              </w:rPr>
              <w:t>(Increase) / decrease in provision for impairment during the period</w:t>
            </w:r>
          </w:p>
        </w:tc>
        <w:tc>
          <w:tcPr>
            <w:tcW w:w="1394" w:type="dxa"/>
            <w:tcBorders>
              <w:top w:val="nil"/>
              <w:left w:val="nil"/>
              <w:bottom w:val="single" w:sz="4" w:space="0" w:color="000000"/>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(43)</w:t>
            </w:r>
          </w:p>
        </w:tc>
        <w:tc>
          <w:tcPr>
            <w:tcW w:w="1153"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(43)</w:t>
            </w:r>
          </w:p>
        </w:tc>
      </w:tr>
      <w:tr w:rsidR="006B715A" w:rsidRPr="00BA5143" w:rsidTr="006B715A">
        <w:trPr>
          <w:trHeight w:val="181"/>
        </w:trPr>
        <w:tc>
          <w:tcPr>
            <w:tcW w:w="776" w:type="dxa"/>
            <w:tcBorders>
              <w:top w:val="single" w:sz="4" w:space="0" w:color="000000"/>
              <w:left w:val="single" w:sz="8" w:space="0" w:color="auto"/>
              <w:bottom w:val="single" w:sz="8" w:space="0" w:color="auto"/>
              <w:right w:val="single" w:sz="4" w:space="0" w:color="000000"/>
            </w:tcBorders>
            <w:vAlign w:val="center"/>
            <w:hideMark/>
          </w:tcPr>
          <w:p w:rsidR="006B715A" w:rsidRPr="00BA5143" w:rsidRDefault="006B715A">
            <w:pPr>
              <w:jc w:val="center"/>
              <w:rPr>
                <w:sz w:val="20"/>
                <w:szCs w:val="20"/>
                <w:lang w:val="en-US"/>
              </w:rPr>
            </w:pPr>
            <w:r w:rsidRPr="00BA5143">
              <w:rPr>
                <w:sz w:val="20"/>
                <w:szCs w:val="20"/>
                <w:lang w:val="en-US"/>
              </w:rPr>
              <w:t>3</w:t>
            </w:r>
          </w:p>
        </w:tc>
        <w:tc>
          <w:tcPr>
            <w:tcW w:w="4793" w:type="dxa"/>
            <w:tcBorders>
              <w:top w:val="nil"/>
              <w:left w:val="nil"/>
              <w:bottom w:val="single" w:sz="8" w:space="0" w:color="auto"/>
              <w:right w:val="single" w:sz="4" w:space="0" w:color="000000"/>
            </w:tcBorders>
            <w:hideMark/>
          </w:tcPr>
          <w:p w:rsidR="006B715A" w:rsidRPr="00BA5143" w:rsidRDefault="006B715A">
            <w:pPr>
              <w:rPr>
                <w:sz w:val="20"/>
                <w:szCs w:val="20"/>
                <w:lang w:val="en-US"/>
              </w:rPr>
            </w:pPr>
            <w:r w:rsidRPr="00BA5143">
              <w:rPr>
                <w:sz w:val="20"/>
                <w:szCs w:val="20"/>
                <w:lang w:val="en-US"/>
              </w:rPr>
              <w:t>Balance at the end of the day on December 31, 2017</w:t>
            </w:r>
          </w:p>
        </w:tc>
        <w:tc>
          <w:tcPr>
            <w:tcW w:w="1394" w:type="dxa"/>
            <w:tcBorders>
              <w:top w:val="single" w:sz="4" w:space="0" w:color="000000"/>
              <w:left w:val="nil"/>
              <w:bottom w:val="single" w:sz="8"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(43)</w:t>
            </w:r>
          </w:p>
        </w:tc>
        <w:tc>
          <w:tcPr>
            <w:tcW w:w="1153"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(22)</w:t>
            </w:r>
          </w:p>
        </w:tc>
        <w:tc>
          <w:tcPr>
            <w:tcW w:w="128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right"/>
              <w:rPr>
                <w:sz w:val="20"/>
                <w:szCs w:val="20"/>
                <w:lang w:val="en-US"/>
              </w:rPr>
            </w:pPr>
            <w:r w:rsidRPr="00BA5143">
              <w:rPr>
                <w:sz w:val="20"/>
                <w:szCs w:val="20"/>
                <w:lang w:val="en-US"/>
              </w:rPr>
              <w:t>(65)</w:t>
            </w:r>
          </w:p>
        </w:tc>
      </w:tr>
    </w:tbl>
    <w:p w:rsidR="00A2057B" w:rsidRPr="00BA5143" w:rsidRDefault="00A2057B" w:rsidP="006B715A">
      <w:pPr>
        <w:shd w:val="clear" w:color="auto" w:fill="FFFFFF"/>
        <w:jc w:val="right"/>
        <w:rPr>
          <w:highlight w:val="yellow"/>
          <w:lang w:val="en-US"/>
        </w:rPr>
      </w:pPr>
    </w:p>
    <w:p w:rsidR="00CC46DB" w:rsidRPr="00BA5143" w:rsidRDefault="008C776D" w:rsidP="000B1BE1">
      <w:pPr>
        <w:spacing w:after="120" w:line="240" w:lineRule="exact"/>
        <w:ind w:firstLine="567"/>
        <w:jc w:val="both"/>
        <w:rPr>
          <w:b/>
          <w:lang w:val="en-US"/>
        </w:rPr>
      </w:pPr>
      <w:r w:rsidRPr="00BA5143">
        <w:rPr>
          <w:b/>
          <w:lang w:val="en-US"/>
        </w:rPr>
        <w:t>Note</w:t>
      </w:r>
      <w:r w:rsidR="00CC46DB" w:rsidRPr="00BA5143">
        <w:rPr>
          <w:b/>
          <w:lang w:val="en-US"/>
        </w:rPr>
        <w:t xml:space="preserve"> </w:t>
      </w:r>
      <w:r w:rsidR="00EF4975" w:rsidRPr="00BA5143">
        <w:rPr>
          <w:b/>
          <w:lang w:val="en-US"/>
        </w:rPr>
        <w:t>1</w:t>
      </w:r>
      <w:r w:rsidR="00873FF6" w:rsidRPr="00BA5143">
        <w:rPr>
          <w:b/>
          <w:lang w:val="en-US"/>
        </w:rPr>
        <w:t>1</w:t>
      </w:r>
      <w:r w:rsidR="00CC46DB" w:rsidRPr="00BA5143">
        <w:rPr>
          <w:b/>
          <w:lang w:val="en-US"/>
        </w:rPr>
        <w:t xml:space="preserve">. </w:t>
      </w:r>
      <w:r w:rsidRPr="00BA5143">
        <w:rPr>
          <w:b/>
          <w:lang w:val="en-US"/>
        </w:rPr>
        <w:t>CUSTOMER FUNDS</w:t>
      </w:r>
    </w:p>
    <w:p w:rsidR="00CC46DB" w:rsidRPr="00BA5143" w:rsidRDefault="008C776D" w:rsidP="000B1BE1">
      <w:pPr>
        <w:spacing w:line="240" w:lineRule="exact"/>
        <w:ind w:firstLine="567"/>
        <w:jc w:val="both"/>
        <w:rPr>
          <w:b/>
          <w:lang w:val="en-US"/>
        </w:rPr>
      </w:pPr>
      <w:r w:rsidRPr="00BA5143">
        <w:rPr>
          <w:b/>
          <w:lang w:val="en-US"/>
        </w:rPr>
        <w:t>Table</w:t>
      </w:r>
      <w:r w:rsidR="00CC46DB" w:rsidRPr="00BA5143">
        <w:rPr>
          <w:b/>
          <w:lang w:val="en-US"/>
        </w:rPr>
        <w:t xml:space="preserve"> </w:t>
      </w:r>
      <w:r w:rsidR="00607707" w:rsidRPr="00BA5143">
        <w:rPr>
          <w:b/>
          <w:lang w:val="en-US"/>
        </w:rPr>
        <w:t>1</w:t>
      </w:r>
      <w:r w:rsidR="00873FF6" w:rsidRPr="00BA5143">
        <w:rPr>
          <w:b/>
          <w:lang w:val="en-US"/>
        </w:rPr>
        <w:t>1</w:t>
      </w:r>
      <w:r w:rsidR="00CC46DB" w:rsidRPr="00BA5143">
        <w:rPr>
          <w:b/>
          <w:lang w:val="en-US"/>
        </w:rPr>
        <w:t xml:space="preserve">.1. </w:t>
      </w:r>
      <w:r w:rsidRPr="00BA5143">
        <w:rPr>
          <w:b/>
          <w:lang w:val="en-US"/>
        </w:rPr>
        <w:t>Customer funds</w:t>
      </w:r>
      <w:r w:rsidR="00CC46DB" w:rsidRPr="00BA5143">
        <w:rPr>
          <w:b/>
          <w:lang w:val="en-US"/>
        </w:rPr>
        <w:t xml:space="preserve"> </w:t>
      </w:r>
    </w:p>
    <w:p w:rsidR="006B715A" w:rsidRPr="00BA5143" w:rsidRDefault="006B715A" w:rsidP="006B715A">
      <w:pPr>
        <w:spacing w:line="240" w:lineRule="exact"/>
        <w:ind w:firstLine="567"/>
        <w:jc w:val="right"/>
        <w:rPr>
          <w:lang w:val="en-US"/>
        </w:rPr>
      </w:pPr>
      <w:r w:rsidRPr="00BA5143">
        <w:rPr>
          <w:lang w:val="en-US"/>
        </w:rPr>
        <w:t>(ths. UAH.)</w:t>
      </w:r>
    </w:p>
    <w:tbl>
      <w:tblPr>
        <w:tblW w:w="96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0"/>
        <w:gridCol w:w="6043"/>
        <w:gridCol w:w="1276"/>
        <w:gridCol w:w="1254"/>
      </w:tblGrid>
      <w:tr w:rsidR="006B715A" w:rsidRPr="00BA5143" w:rsidTr="006B715A">
        <w:trPr>
          <w:trHeight w:val="255"/>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bCs/>
                <w:sz w:val="20"/>
                <w:lang w:val="en-US"/>
              </w:rPr>
              <w:t>Line</w:t>
            </w:r>
          </w:p>
        </w:tc>
        <w:tc>
          <w:tcPr>
            <w:tcW w:w="6043"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spacing w:line="200" w:lineRule="exact"/>
              <w:jc w:val="center"/>
              <w:rPr>
                <w:sz w:val="20"/>
                <w:lang w:val="en-US"/>
              </w:rPr>
            </w:pPr>
            <w:r w:rsidRPr="00BA5143">
              <w:rPr>
                <w:sz w:val="20"/>
                <w:lang w:val="en-US"/>
              </w:rPr>
              <w:t>Item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spacing w:line="200" w:lineRule="exact"/>
              <w:jc w:val="center"/>
              <w:rPr>
                <w:sz w:val="20"/>
                <w:lang w:val="en-US"/>
              </w:rPr>
            </w:pPr>
            <w:r w:rsidRPr="00BA5143">
              <w:rPr>
                <w:sz w:val="20"/>
                <w:lang w:val="en-US"/>
              </w:rPr>
              <w:t>2018</w:t>
            </w:r>
          </w:p>
        </w:tc>
        <w:tc>
          <w:tcPr>
            <w:tcW w:w="1254"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spacing w:line="200" w:lineRule="exact"/>
              <w:jc w:val="center"/>
              <w:rPr>
                <w:sz w:val="20"/>
                <w:lang w:val="en-US"/>
              </w:rPr>
            </w:pPr>
            <w:r w:rsidRPr="00BA5143">
              <w:rPr>
                <w:sz w:val="20"/>
                <w:lang w:val="en-US"/>
              </w:rPr>
              <w:t xml:space="preserve">2017 </w:t>
            </w:r>
          </w:p>
        </w:tc>
      </w:tr>
      <w:tr w:rsidR="006B715A" w:rsidRPr="00BA5143" w:rsidTr="006B715A">
        <w:trPr>
          <w:trHeight w:val="255"/>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1 </w:t>
            </w:r>
          </w:p>
        </w:tc>
        <w:tc>
          <w:tcPr>
            <w:tcW w:w="6043"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2 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3 </w:t>
            </w:r>
          </w:p>
        </w:tc>
        <w:tc>
          <w:tcPr>
            <w:tcW w:w="1254"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4</w:t>
            </w:r>
          </w:p>
        </w:tc>
      </w:tr>
      <w:tr w:rsidR="006B715A" w:rsidRPr="00BA5143" w:rsidTr="006B715A">
        <w:trPr>
          <w:trHeight w:val="255"/>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1</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Other legal entities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204</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2 544</w:t>
            </w:r>
          </w:p>
        </w:tc>
      </w:tr>
      <w:tr w:rsidR="006B715A" w:rsidRPr="00BA5143" w:rsidTr="006B715A">
        <w:trPr>
          <w:trHeight w:val="255"/>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1.1 </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Current accounts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204</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2 544</w:t>
            </w:r>
          </w:p>
        </w:tc>
      </w:tr>
      <w:tr w:rsidR="006B715A" w:rsidRPr="00BA5143" w:rsidTr="006B715A">
        <w:trPr>
          <w:trHeight w:val="270"/>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2</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Individuals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413</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w:t>
            </w:r>
          </w:p>
        </w:tc>
      </w:tr>
      <w:tr w:rsidR="006B715A" w:rsidRPr="00BA5143" w:rsidTr="006B715A">
        <w:trPr>
          <w:trHeight w:val="270"/>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2.1</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Current accounts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393</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w:t>
            </w:r>
          </w:p>
        </w:tc>
      </w:tr>
      <w:tr w:rsidR="006B715A" w:rsidRPr="00BA5143" w:rsidTr="006B715A">
        <w:trPr>
          <w:trHeight w:val="270"/>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2.2</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Term funds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20</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w:t>
            </w:r>
          </w:p>
        </w:tc>
      </w:tr>
      <w:tr w:rsidR="006B715A" w:rsidRPr="00BA5143" w:rsidTr="006B715A">
        <w:trPr>
          <w:trHeight w:val="270"/>
        </w:trPr>
        <w:tc>
          <w:tcPr>
            <w:tcW w:w="1060" w:type="dxa"/>
            <w:tcBorders>
              <w:top w:val="single" w:sz="4" w:space="0" w:color="auto"/>
              <w:left w:val="single" w:sz="4" w:space="0" w:color="auto"/>
              <w:bottom w:val="single" w:sz="4" w:space="0" w:color="auto"/>
              <w:right w:val="single" w:sz="4" w:space="0" w:color="auto"/>
            </w:tcBorders>
            <w:vAlign w:val="center"/>
            <w:hideMark/>
          </w:tcPr>
          <w:p w:rsidR="006B715A" w:rsidRPr="00BA5143" w:rsidRDefault="006B715A">
            <w:pPr>
              <w:jc w:val="center"/>
              <w:rPr>
                <w:sz w:val="20"/>
                <w:szCs w:val="20"/>
                <w:lang w:val="en-US"/>
              </w:rPr>
            </w:pPr>
            <w:r w:rsidRPr="00BA5143">
              <w:rPr>
                <w:sz w:val="20"/>
                <w:szCs w:val="20"/>
                <w:lang w:val="en-US"/>
              </w:rPr>
              <w:t>3</w:t>
            </w:r>
          </w:p>
        </w:tc>
        <w:tc>
          <w:tcPr>
            <w:tcW w:w="6043" w:type="dxa"/>
            <w:tcBorders>
              <w:top w:val="single" w:sz="4" w:space="0" w:color="auto"/>
              <w:left w:val="single" w:sz="4" w:space="0" w:color="auto"/>
              <w:bottom w:val="single" w:sz="4" w:space="0" w:color="auto"/>
              <w:right w:val="single" w:sz="4" w:space="0" w:color="auto"/>
            </w:tcBorders>
            <w:hideMark/>
          </w:tcPr>
          <w:p w:rsidR="006B715A" w:rsidRPr="00BA5143" w:rsidRDefault="006B715A">
            <w:pPr>
              <w:rPr>
                <w:sz w:val="20"/>
                <w:szCs w:val="20"/>
                <w:lang w:val="en-US"/>
              </w:rPr>
            </w:pPr>
            <w:r w:rsidRPr="00BA5143">
              <w:rPr>
                <w:sz w:val="20"/>
                <w:szCs w:val="20"/>
                <w:lang w:val="en-US"/>
              </w:rPr>
              <w:t>Total customer funds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617</w:t>
            </w:r>
          </w:p>
        </w:tc>
        <w:tc>
          <w:tcPr>
            <w:tcW w:w="1254" w:type="dxa"/>
            <w:tcBorders>
              <w:top w:val="single" w:sz="4" w:space="0" w:color="auto"/>
              <w:left w:val="single" w:sz="4" w:space="0" w:color="auto"/>
              <w:bottom w:val="single" w:sz="4" w:space="0" w:color="auto"/>
              <w:right w:val="single" w:sz="4" w:space="0" w:color="auto"/>
            </w:tcBorders>
            <w:noWrap/>
            <w:vAlign w:val="bottom"/>
            <w:hideMark/>
          </w:tcPr>
          <w:p w:rsidR="006B715A" w:rsidRPr="00BA5143" w:rsidRDefault="006B715A">
            <w:pPr>
              <w:jc w:val="right"/>
              <w:rPr>
                <w:sz w:val="20"/>
                <w:szCs w:val="20"/>
                <w:lang w:val="en-US"/>
              </w:rPr>
            </w:pPr>
            <w:r w:rsidRPr="00BA5143">
              <w:rPr>
                <w:sz w:val="20"/>
                <w:szCs w:val="20"/>
                <w:lang w:val="en-US"/>
              </w:rPr>
              <w:t>2 544</w:t>
            </w:r>
          </w:p>
        </w:tc>
      </w:tr>
    </w:tbl>
    <w:p w:rsidR="00DD1E7C" w:rsidRPr="00BA5143" w:rsidRDefault="00DD1E7C" w:rsidP="00BA24F4">
      <w:pPr>
        <w:jc w:val="both"/>
        <w:rPr>
          <w:b/>
          <w:lang w:val="en-US"/>
        </w:rPr>
      </w:pPr>
    </w:p>
    <w:p w:rsidR="00563864" w:rsidRPr="00BA5143" w:rsidRDefault="00563864" w:rsidP="00563864">
      <w:pPr>
        <w:rPr>
          <w:b/>
          <w:lang w:val="en-US"/>
        </w:rPr>
      </w:pPr>
      <w:proofErr w:type="gramStart"/>
      <w:r w:rsidRPr="00BA5143">
        <w:rPr>
          <w:b/>
          <w:lang w:val="en-US"/>
        </w:rPr>
        <w:t>Table 11.2.</w:t>
      </w:r>
      <w:proofErr w:type="gramEnd"/>
      <w:r w:rsidRPr="00BA5143">
        <w:rPr>
          <w:b/>
          <w:lang w:val="en-US"/>
        </w:rPr>
        <w:t xml:space="preserve"> Distribution of clients' funds by types of economic activity </w:t>
      </w:r>
    </w:p>
    <w:p w:rsidR="00563864" w:rsidRPr="00BA5143" w:rsidRDefault="00563864" w:rsidP="00563864">
      <w:pPr>
        <w:jc w:val="right"/>
        <w:rPr>
          <w:b/>
          <w:lang w:val="en-US"/>
        </w:rPr>
      </w:pPr>
      <w:r w:rsidRPr="00BA5143">
        <w:rPr>
          <w:lang w:val="en-US"/>
        </w:rPr>
        <w:t>(ths. UAH.)</w:t>
      </w:r>
    </w:p>
    <w:tbl>
      <w:tblPr>
        <w:tblW w:w="9642" w:type="dxa"/>
        <w:tblInd w:w="93" w:type="dxa"/>
        <w:tblLook w:val="04A0"/>
      </w:tblPr>
      <w:tblGrid>
        <w:gridCol w:w="769"/>
        <w:gridCol w:w="4633"/>
        <w:gridCol w:w="1020"/>
        <w:gridCol w:w="1020"/>
        <w:gridCol w:w="1100"/>
        <w:gridCol w:w="1100"/>
      </w:tblGrid>
      <w:tr w:rsidR="00563864" w:rsidRPr="00BA5143" w:rsidTr="00563864">
        <w:trPr>
          <w:trHeight w:val="181"/>
        </w:trPr>
        <w:tc>
          <w:tcPr>
            <w:tcW w:w="769" w:type="dxa"/>
            <w:vMerge w:val="restart"/>
            <w:tcBorders>
              <w:top w:val="single" w:sz="8" w:space="0" w:color="auto"/>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bCs/>
                <w:sz w:val="20"/>
                <w:lang w:val="en-US"/>
              </w:rPr>
              <w:t>Line</w:t>
            </w:r>
          </w:p>
        </w:tc>
        <w:tc>
          <w:tcPr>
            <w:tcW w:w="4633" w:type="dxa"/>
            <w:vMerge w:val="restart"/>
            <w:tcBorders>
              <w:top w:val="single" w:sz="8" w:space="0" w:color="auto"/>
              <w:left w:val="single" w:sz="4"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Type of economic activity</w:t>
            </w:r>
          </w:p>
        </w:tc>
        <w:tc>
          <w:tcPr>
            <w:tcW w:w="2040" w:type="dxa"/>
            <w:gridSpan w:val="2"/>
            <w:tcBorders>
              <w:top w:val="single" w:sz="8" w:space="0" w:color="auto"/>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2018</w:t>
            </w:r>
          </w:p>
        </w:tc>
        <w:tc>
          <w:tcPr>
            <w:tcW w:w="2200" w:type="dxa"/>
            <w:gridSpan w:val="2"/>
            <w:tcBorders>
              <w:top w:val="single" w:sz="8" w:space="0" w:color="auto"/>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2017</w:t>
            </w:r>
          </w:p>
        </w:tc>
      </w:tr>
      <w:tr w:rsidR="00563864" w:rsidRPr="00BA5143" w:rsidTr="00563864">
        <w:trPr>
          <w:trHeight w:val="181"/>
        </w:trPr>
        <w:tc>
          <w:tcPr>
            <w:tcW w:w="0" w:type="auto"/>
            <w:vMerge/>
            <w:tcBorders>
              <w:top w:val="single" w:sz="8" w:space="0" w:color="auto"/>
              <w:left w:val="single" w:sz="8" w:space="0" w:color="auto"/>
              <w:bottom w:val="single" w:sz="4" w:space="0" w:color="auto"/>
              <w:right w:val="single" w:sz="4" w:space="0" w:color="auto"/>
            </w:tcBorders>
            <w:vAlign w:val="center"/>
            <w:hideMark/>
          </w:tcPr>
          <w:p w:rsidR="00563864" w:rsidRPr="00BA5143" w:rsidRDefault="00563864">
            <w:pPr>
              <w:rPr>
                <w:sz w:val="20"/>
                <w:szCs w:val="20"/>
                <w:lang w:val="en-U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63864" w:rsidRPr="00BA5143" w:rsidRDefault="00563864">
            <w:pPr>
              <w:rPr>
                <w:sz w:val="20"/>
                <w:szCs w:val="20"/>
                <w:lang w:val="en-US"/>
              </w:rPr>
            </w:pPr>
          </w:p>
        </w:tc>
        <w:tc>
          <w:tcPr>
            <w:tcW w:w="102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sum</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 </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sum</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 </w:t>
            </w:r>
          </w:p>
        </w:tc>
      </w:tr>
      <w:tr w:rsidR="00563864" w:rsidRPr="00BA5143" w:rsidTr="00563864">
        <w:trPr>
          <w:trHeight w:val="181"/>
        </w:trPr>
        <w:tc>
          <w:tcPr>
            <w:tcW w:w="769" w:type="dxa"/>
            <w:tcBorders>
              <w:top w:val="nil"/>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1 </w:t>
            </w:r>
          </w:p>
        </w:tc>
        <w:tc>
          <w:tcPr>
            <w:tcW w:w="4633"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2 </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3 </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 4</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5 </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6 </w:t>
            </w:r>
          </w:p>
        </w:tc>
      </w:tr>
      <w:tr w:rsidR="00563864" w:rsidRPr="00BA5143" w:rsidTr="00563864">
        <w:trPr>
          <w:trHeight w:val="181"/>
        </w:trPr>
        <w:tc>
          <w:tcPr>
            <w:tcW w:w="769" w:type="dxa"/>
            <w:tcBorders>
              <w:top w:val="nil"/>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1</w:t>
            </w:r>
          </w:p>
        </w:tc>
        <w:tc>
          <w:tcPr>
            <w:tcW w:w="4633" w:type="dxa"/>
            <w:tcBorders>
              <w:top w:val="nil"/>
              <w:left w:val="nil"/>
              <w:bottom w:val="single" w:sz="4" w:space="0" w:color="auto"/>
              <w:right w:val="single" w:sz="4" w:space="0" w:color="auto"/>
            </w:tcBorders>
            <w:hideMark/>
          </w:tcPr>
          <w:p w:rsidR="00563864" w:rsidRPr="00BA5143" w:rsidRDefault="00563864">
            <w:pPr>
              <w:rPr>
                <w:sz w:val="20"/>
                <w:szCs w:val="20"/>
                <w:lang w:val="en-US"/>
              </w:rPr>
            </w:pPr>
            <w:r w:rsidRPr="00BA5143">
              <w:rPr>
                <w:sz w:val="20"/>
                <w:szCs w:val="20"/>
                <w:lang w:val="en-US"/>
              </w:rPr>
              <w:t>Real estate operations, leasing, engineering and services</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202</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32,7%</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2 539</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99,8%</w:t>
            </w:r>
          </w:p>
        </w:tc>
      </w:tr>
      <w:tr w:rsidR="00563864" w:rsidRPr="00BA5143" w:rsidTr="00563864">
        <w:trPr>
          <w:trHeight w:val="181"/>
        </w:trPr>
        <w:tc>
          <w:tcPr>
            <w:tcW w:w="769" w:type="dxa"/>
            <w:tcBorders>
              <w:top w:val="nil"/>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2</w:t>
            </w:r>
          </w:p>
        </w:tc>
        <w:tc>
          <w:tcPr>
            <w:tcW w:w="4633" w:type="dxa"/>
            <w:tcBorders>
              <w:top w:val="nil"/>
              <w:left w:val="nil"/>
              <w:bottom w:val="single" w:sz="4" w:space="0" w:color="auto"/>
              <w:right w:val="single" w:sz="4" w:space="0" w:color="auto"/>
            </w:tcBorders>
            <w:hideMark/>
          </w:tcPr>
          <w:p w:rsidR="00563864" w:rsidRPr="00BA5143" w:rsidRDefault="00563864">
            <w:pPr>
              <w:rPr>
                <w:sz w:val="20"/>
                <w:szCs w:val="20"/>
                <w:lang w:val="en-US"/>
              </w:rPr>
            </w:pPr>
            <w:r w:rsidRPr="00BA5143">
              <w:rPr>
                <w:sz w:val="20"/>
                <w:szCs w:val="20"/>
                <w:lang w:val="en-US"/>
              </w:rPr>
              <w:t>Trade, repair of cars, household products and personal items</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1</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0,2%</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2</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0,1%</w:t>
            </w:r>
          </w:p>
        </w:tc>
      </w:tr>
      <w:tr w:rsidR="00563864" w:rsidRPr="00BA5143" w:rsidTr="00563864">
        <w:trPr>
          <w:trHeight w:val="181"/>
        </w:trPr>
        <w:tc>
          <w:tcPr>
            <w:tcW w:w="769" w:type="dxa"/>
            <w:tcBorders>
              <w:top w:val="nil"/>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4633" w:type="dxa"/>
            <w:tcBorders>
              <w:top w:val="nil"/>
              <w:left w:val="nil"/>
              <w:bottom w:val="single" w:sz="4" w:space="0" w:color="auto"/>
              <w:right w:val="single" w:sz="4" w:space="0" w:color="auto"/>
            </w:tcBorders>
            <w:hideMark/>
          </w:tcPr>
          <w:p w:rsidR="00563864" w:rsidRPr="00BA5143" w:rsidRDefault="00563864">
            <w:pPr>
              <w:rPr>
                <w:sz w:val="20"/>
                <w:szCs w:val="20"/>
                <w:lang w:val="en-US"/>
              </w:rPr>
            </w:pPr>
            <w:r w:rsidRPr="00BA5143">
              <w:rPr>
                <w:sz w:val="20"/>
                <w:szCs w:val="20"/>
                <w:lang w:val="en-US"/>
              </w:rPr>
              <w:t>Individuals</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413</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67,0%</w:t>
            </w:r>
          </w:p>
        </w:tc>
        <w:tc>
          <w:tcPr>
            <w:tcW w:w="1100" w:type="dxa"/>
            <w:tcBorders>
              <w:top w:val="nil"/>
              <w:left w:val="nil"/>
              <w:bottom w:val="single" w:sz="4" w:space="0" w:color="auto"/>
              <w:right w:val="single" w:sz="4" w:space="0" w:color="auto"/>
            </w:tcBorders>
            <w:vAlign w:val="center"/>
          </w:tcPr>
          <w:p w:rsidR="00563864" w:rsidRPr="00BA5143" w:rsidRDefault="00563864">
            <w:pPr>
              <w:jc w:val="right"/>
              <w:rPr>
                <w:sz w:val="20"/>
                <w:szCs w:val="20"/>
                <w:lang w:val="en-US"/>
              </w:rPr>
            </w:pPr>
          </w:p>
        </w:tc>
        <w:tc>
          <w:tcPr>
            <w:tcW w:w="1100" w:type="dxa"/>
            <w:tcBorders>
              <w:top w:val="nil"/>
              <w:left w:val="nil"/>
              <w:bottom w:val="single" w:sz="4" w:space="0" w:color="auto"/>
              <w:right w:val="single" w:sz="4" w:space="0" w:color="auto"/>
            </w:tcBorders>
            <w:vAlign w:val="center"/>
          </w:tcPr>
          <w:p w:rsidR="00563864" w:rsidRPr="00BA5143" w:rsidRDefault="00563864">
            <w:pPr>
              <w:jc w:val="right"/>
              <w:rPr>
                <w:sz w:val="20"/>
                <w:szCs w:val="20"/>
                <w:lang w:val="en-US"/>
              </w:rPr>
            </w:pPr>
          </w:p>
        </w:tc>
      </w:tr>
      <w:tr w:rsidR="00563864" w:rsidRPr="00BA5143" w:rsidTr="00563864">
        <w:trPr>
          <w:trHeight w:val="181"/>
        </w:trPr>
        <w:tc>
          <w:tcPr>
            <w:tcW w:w="769" w:type="dxa"/>
            <w:tcBorders>
              <w:top w:val="nil"/>
              <w:left w:val="single" w:sz="8" w:space="0" w:color="auto"/>
              <w:bottom w:val="single" w:sz="4"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4633" w:type="dxa"/>
            <w:tcBorders>
              <w:top w:val="nil"/>
              <w:left w:val="nil"/>
              <w:bottom w:val="single" w:sz="4" w:space="0" w:color="auto"/>
              <w:right w:val="single" w:sz="4" w:space="0" w:color="auto"/>
            </w:tcBorders>
            <w:hideMark/>
          </w:tcPr>
          <w:p w:rsidR="00563864" w:rsidRPr="00BA5143" w:rsidRDefault="00563864">
            <w:pPr>
              <w:rPr>
                <w:sz w:val="20"/>
                <w:szCs w:val="20"/>
                <w:lang w:val="en-US"/>
              </w:rPr>
            </w:pPr>
            <w:r w:rsidRPr="00BA5143">
              <w:rPr>
                <w:sz w:val="20"/>
                <w:szCs w:val="20"/>
                <w:lang w:val="en-US"/>
              </w:rPr>
              <w:t>Others</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1</w:t>
            </w:r>
          </w:p>
        </w:tc>
        <w:tc>
          <w:tcPr>
            <w:tcW w:w="102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0,1%</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3</w:t>
            </w:r>
          </w:p>
        </w:tc>
        <w:tc>
          <w:tcPr>
            <w:tcW w:w="1100" w:type="dxa"/>
            <w:tcBorders>
              <w:top w:val="nil"/>
              <w:left w:val="nil"/>
              <w:bottom w:val="single" w:sz="4"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0,1%</w:t>
            </w:r>
          </w:p>
        </w:tc>
      </w:tr>
      <w:tr w:rsidR="00563864" w:rsidRPr="00BA5143" w:rsidTr="00563864">
        <w:trPr>
          <w:trHeight w:val="181"/>
        </w:trPr>
        <w:tc>
          <w:tcPr>
            <w:tcW w:w="769" w:type="dxa"/>
            <w:tcBorders>
              <w:top w:val="nil"/>
              <w:left w:val="single" w:sz="8" w:space="0" w:color="auto"/>
              <w:bottom w:val="single" w:sz="8" w:space="0" w:color="auto"/>
              <w:right w:val="single" w:sz="4" w:space="0" w:color="auto"/>
            </w:tcBorders>
            <w:vAlign w:val="center"/>
            <w:hideMark/>
          </w:tcPr>
          <w:p w:rsidR="00563864" w:rsidRPr="00BA5143" w:rsidRDefault="00563864">
            <w:pPr>
              <w:jc w:val="center"/>
              <w:rPr>
                <w:sz w:val="20"/>
                <w:szCs w:val="20"/>
                <w:lang w:val="en-US"/>
              </w:rPr>
            </w:pPr>
            <w:r w:rsidRPr="00BA5143">
              <w:rPr>
                <w:sz w:val="20"/>
                <w:szCs w:val="20"/>
                <w:lang w:val="en-US"/>
              </w:rPr>
              <w:t>4</w:t>
            </w:r>
          </w:p>
        </w:tc>
        <w:tc>
          <w:tcPr>
            <w:tcW w:w="4633" w:type="dxa"/>
            <w:tcBorders>
              <w:top w:val="nil"/>
              <w:left w:val="nil"/>
              <w:bottom w:val="single" w:sz="8" w:space="0" w:color="auto"/>
              <w:right w:val="single" w:sz="4" w:space="0" w:color="auto"/>
            </w:tcBorders>
            <w:hideMark/>
          </w:tcPr>
          <w:p w:rsidR="00563864" w:rsidRPr="00BA5143" w:rsidRDefault="00563864">
            <w:pPr>
              <w:rPr>
                <w:sz w:val="20"/>
                <w:szCs w:val="20"/>
                <w:lang w:val="en-US"/>
              </w:rPr>
            </w:pPr>
            <w:r w:rsidRPr="00BA5143">
              <w:rPr>
                <w:sz w:val="20"/>
                <w:szCs w:val="20"/>
                <w:lang w:val="en-US"/>
              </w:rPr>
              <w:t>Total customer funds</w:t>
            </w:r>
          </w:p>
        </w:tc>
        <w:tc>
          <w:tcPr>
            <w:tcW w:w="1020" w:type="dxa"/>
            <w:tcBorders>
              <w:top w:val="nil"/>
              <w:left w:val="nil"/>
              <w:bottom w:val="single" w:sz="8"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617</w:t>
            </w:r>
          </w:p>
        </w:tc>
        <w:tc>
          <w:tcPr>
            <w:tcW w:w="1020" w:type="dxa"/>
            <w:tcBorders>
              <w:top w:val="nil"/>
              <w:left w:val="nil"/>
              <w:bottom w:val="single" w:sz="8"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100 % </w:t>
            </w:r>
          </w:p>
        </w:tc>
        <w:tc>
          <w:tcPr>
            <w:tcW w:w="1100" w:type="dxa"/>
            <w:tcBorders>
              <w:top w:val="nil"/>
              <w:left w:val="nil"/>
              <w:bottom w:val="single" w:sz="8"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2 544</w:t>
            </w:r>
          </w:p>
        </w:tc>
        <w:tc>
          <w:tcPr>
            <w:tcW w:w="1100" w:type="dxa"/>
            <w:tcBorders>
              <w:top w:val="nil"/>
              <w:left w:val="nil"/>
              <w:bottom w:val="single" w:sz="8" w:space="0" w:color="auto"/>
              <w:right w:val="single" w:sz="4" w:space="0" w:color="auto"/>
            </w:tcBorders>
            <w:vAlign w:val="center"/>
            <w:hideMark/>
          </w:tcPr>
          <w:p w:rsidR="00563864" w:rsidRPr="00BA5143" w:rsidRDefault="00563864">
            <w:pPr>
              <w:jc w:val="right"/>
              <w:rPr>
                <w:sz w:val="20"/>
                <w:szCs w:val="20"/>
                <w:lang w:val="en-US"/>
              </w:rPr>
            </w:pPr>
            <w:r w:rsidRPr="00BA5143">
              <w:rPr>
                <w:sz w:val="20"/>
                <w:szCs w:val="20"/>
                <w:lang w:val="en-US"/>
              </w:rPr>
              <w:t>100 % </w:t>
            </w:r>
          </w:p>
        </w:tc>
      </w:tr>
    </w:tbl>
    <w:p w:rsidR="00D36AB2" w:rsidRDefault="00D36AB2" w:rsidP="00A44C50">
      <w:pPr>
        <w:pStyle w:val="a4"/>
        <w:spacing w:before="120" w:beforeAutospacing="0" w:after="0" w:afterAutospacing="0"/>
        <w:jc w:val="both"/>
        <w:rPr>
          <w:b/>
          <w:lang w:val="en-US"/>
        </w:rPr>
      </w:pPr>
    </w:p>
    <w:p w:rsidR="00563864" w:rsidRPr="00BA5143" w:rsidRDefault="00563864" w:rsidP="00A44C50">
      <w:pPr>
        <w:pStyle w:val="a4"/>
        <w:spacing w:before="120" w:beforeAutospacing="0" w:after="0" w:afterAutospacing="0"/>
        <w:jc w:val="both"/>
        <w:rPr>
          <w:b/>
          <w:lang w:val="en-US"/>
        </w:rPr>
      </w:pPr>
      <w:proofErr w:type="gramStart"/>
      <w:r w:rsidRPr="00BA5143">
        <w:rPr>
          <w:b/>
          <w:lang w:val="en-US"/>
        </w:rPr>
        <w:t>NOTE 12.</w:t>
      </w:r>
      <w:proofErr w:type="gramEnd"/>
      <w:r w:rsidRPr="00BA5143">
        <w:rPr>
          <w:b/>
          <w:lang w:val="en-US"/>
        </w:rPr>
        <w:t xml:space="preserve"> PROVISION FOR LIABILITIES</w:t>
      </w:r>
    </w:p>
    <w:p w:rsidR="00D36AB2" w:rsidRDefault="00D36AB2" w:rsidP="00563864">
      <w:pPr>
        <w:pStyle w:val="a4"/>
        <w:spacing w:before="0" w:beforeAutospacing="0" w:after="0" w:afterAutospacing="0"/>
        <w:rPr>
          <w:b/>
          <w:lang w:val="en-US"/>
        </w:rPr>
      </w:pPr>
    </w:p>
    <w:p w:rsidR="00563864" w:rsidRPr="00BA5143" w:rsidRDefault="00563864" w:rsidP="00563864">
      <w:pPr>
        <w:pStyle w:val="a4"/>
        <w:spacing w:before="0" w:beforeAutospacing="0" w:after="0" w:afterAutospacing="0"/>
        <w:rPr>
          <w:b/>
          <w:lang w:val="en-US"/>
        </w:rPr>
      </w:pPr>
      <w:proofErr w:type="gramStart"/>
      <w:r w:rsidRPr="00BA5143">
        <w:rPr>
          <w:b/>
          <w:lang w:val="en-US"/>
        </w:rPr>
        <w:t>Table 12.1.</w:t>
      </w:r>
      <w:proofErr w:type="gramEnd"/>
      <w:r w:rsidRPr="00BA5143">
        <w:rPr>
          <w:b/>
          <w:lang w:val="en-US"/>
        </w:rPr>
        <w:t xml:space="preserve"> Changes in provisions for liabilities in 2018 </w:t>
      </w:r>
    </w:p>
    <w:p w:rsidR="00563864" w:rsidRPr="00BA5143" w:rsidRDefault="00563864" w:rsidP="00563864">
      <w:pPr>
        <w:pStyle w:val="a4"/>
        <w:spacing w:before="0" w:beforeAutospacing="0" w:after="0" w:afterAutospacing="0"/>
        <w:jc w:val="right"/>
        <w:rPr>
          <w:lang w:val="en-US"/>
        </w:rPr>
      </w:pPr>
      <w:r w:rsidRPr="00BA5143">
        <w:rPr>
          <w:lang w:val="en-US"/>
        </w:rPr>
        <w:t>(ths. UAH.)</w:t>
      </w:r>
    </w:p>
    <w:tbl>
      <w:tblPr>
        <w:tblW w:w="9371" w:type="dxa"/>
        <w:tblInd w:w="93" w:type="dxa"/>
        <w:tblLook w:val="04A0"/>
      </w:tblPr>
      <w:tblGrid>
        <w:gridCol w:w="915"/>
        <w:gridCol w:w="5479"/>
        <w:gridCol w:w="1559"/>
        <w:gridCol w:w="1418"/>
      </w:tblGrid>
      <w:tr w:rsidR="00563864" w:rsidRPr="00BA5143" w:rsidTr="00563864">
        <w:trPr>
          <w:trHeight w:val="181"/>
        </w:trPr>
        <w:tc>
          <w:tcPr>
            <w:tcW w:w="915" w:type="dxa"/>
            <w:tcBorders>
              <w:top w:val="single" w:sz="8" w:space="0" w:color="auto"/>
              <w:left w:val="single" w:sz="8" w:space="0" w:color="auto"/>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bCs/>
                <w:sz w:val="20"/>
                <w:lang w:val="en-US"/>
              </w:rPr>
              <w:t>Line</w:t>
            </w:r>
          </w:p>
        </w:tc>
        <w:tc>
          <w:tcPr>
            <w:tcW w:w="5479" w:type="dxa"/>
            <w:tcBorders>
              <w:top w:val="single" w:sz="8" w:space="0" w:color="auto"/>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Reserves movement</w:t>
            </w:r>
          </w:p>
        </w:tc>
        <w:tc>
          <w:tcPr>
            <w:tcW w:w="1559" w:type="dxa"/>
            <w:tcBorders>
              <w:top w:val="single" w:sz="8" w:space="0" w:color="auto"/>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Other </w:t>
            </w:r>
          </w:p>
        </w:tc>
        <w:tc>
          <w:tcPr>
            <w:tcW w:w="1418" w:type="dxa"/>
            <w:tcBorders>
              <w:top w:val="single" w:sz="8" w:space="0" w:color="auto"/>
              <w:left w:val="nil"/>
              <w:bottom w:val="single" w:sz="4" w:space="0" w:color="000000"/>
              <w:right w:val="single" w:sz="8" w:space="0" w:color="auto"/>
            </w:tcBorders>
            <w:vAlign w:val="bottom"/>
            <w:hideMark/>
          </w:tcPr>
          <w:p w:rsidR="00563864" w:rsidRPr="00BA5143" w:rsidRDefault="00563864">
            <w:pPr>
              <w:jc w:val="center"/>
              <w:rPr>
                <w:sz w:val="20"/>
                <w:szCs w:val="20"/>
                <w:lang w:val="en-US"/>
              </w:rPr>
            </w:pPr>
            <w:r w:rsidRPr="00BA5143">
              <w:rPr>
                <w:sz w:val="20"/>
                <w:szCs w:val="20"/>
                <w:lang w:val="en-US"/>
              </w:rPr>
              <w:t>Total</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1 </w:t>
            </w:r>
          </w:p>
        </w:tc>
        <w:tc>
          <w:tcPr>
            <w:tcW w:w="5479" w:type="dxa"/>
            <w:tcBorders>
              <w:top w:val="nil"/>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2 </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3 </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center"/>
              <w:rPr>
                <w:sz w:val="20"/>
                <w:szCs w:val="20"/>
                <w:lang w:val="en-US"/>
              </w:rPr>
            </w:pPr>
            <w:r w:rsidRPr="00BA5143">
              <w:rPr>
                <w:sz w:val="20"/>
                <w:szCs w:val="20"/>
                <w:lang w:val="en-US"/>
              </w:rPr>
              <w:t>4 </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1 </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Balance as of January 1, 2018</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111</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111</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2</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Formation and / or increase of reserve</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Other movement (reduction of reserve)</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(111)</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(111)</w:t>
            </w:r>
          </w:p>
        </w:tc>
      </w:tr>
      <w:tr w:rsidR="00563864" w:rsidRPr="00BA5143" w:rsidTr="00563864">
        <w:trPr>
          <w:trHeight w:val="181"/>
        </w:trPr>
        <w:tc>
          <w:tcPr>
            <w:tcW w:w="915" w:type="dxa"/>
            <w:tcBorders>
              <w:top w:val="nil"/>
              <w:left w:val="single" w:sz="8" w:space="0" w:color="auto"/>
              <w:bottom w:val="single" w:sz="8" w:space="0" w:color="auto"/>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5479" w:type="dxa"/>
            <w:tcBorders>
              <w:top w:val="nil"/>
              <w:left w:val="nil"/>
              <w:bottom w:val="single" w:sz="8" w:space="0" w:color="auto"/>
              <w:right w:val="single" w:sz="4" w:space="0" w:color="000000"/>
            </w:tcBorders>
            <w:hideMark/>
          </w:tcPr>
          <w:p w:rsidR="00563864" w:rsidRPr="00BA5143" w:rsidRDefault="00563864">
            <w:pPr>
              <w:rPr>
                <w:sz w:val="20"/>
                <w:szCs w:val="20"/>
                <w:lang w:val="en-US"/>
              </w:rPr>
            </w:pPr>
            <w:r w:rsidRPr="00BA5143">
              <w:rPr>
                <w:sz w:val="20"/>
                <w:szCs w:val="20"/>
                <w:lang w:val="en-US"/>
              </w:rPr>
              <w:t>Balance at the end of the day on December 31, 2018</w:t>
            </w:r>
          </w:p>
        </w:tc>
        <w:tc>
          <w:tcPr>
            <w:tcW w:w="1559" w:type="dxa"/>
            <w:tcBorders>
              <w:top w:val="nil"/>
              <w:left w:val="nil"/>
              <w:bottom w:val="single" w:sz="8" w:space="0" w:color="auto"/>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w:t>
            </w:r>
          </w:p>
        </w:tc>
        <w:tc>
          <w:tcPr>
            <w:tcW w:w="1418" w:type="dxa"/>
            <w:tcBorders>
              <w:top w:val="nil"/>
              <w:left w:val="nil"/>
              <w:bottom w:val="single" w:sz="8" w:space="0" w:color="auto"/>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w:t>
            </w:r>
          </w:p>
        </w:tc>
      </w:tr>
    </w:tbl>
    <w:p w:rsidR="00D36AB2" w:rsidRDefault="00D36AB2" w:rsidP="00563864">
      <w:pPr>
        <w:pStyle w:val="a4"/>
        <w:spacing w:before="0" w:beforeAutospacing="0" w:after="0" w:afterAutospacing="0"/>
        <w:rPr>
          <w:b/>
          <w:lang w:val="en-US"/>
        </w:rPr>
      </w:pPr>
    </w:p>
    <w:p w:rsidR="00563864" w:rsidRPr="00BA5143" w:rsidRDefault="00563864" w:rsidP="00563864">
      <w:pPr>
        <w:pStyle w:val="a4"/>
        <w:spacing w:before="0" w:beforeAutospacing="0" w:after="0" w:afterAutospacing="0"/>
        <w:rPr>
          <w:b/>
          <w:lang w:val="en-US"/>
        </w:rPr>
      </w:pPr>
      <w:proofErr w:type="gramStart"/>
      <w:r w:rsidRPr="00BA5143">
        <w:rPr>
          <w:b/>
          <w:lang w:val="en-US"/>
        </w:rPr>
        <w:t>Table 12.2.</w:t>
      </w:r>
      <w:proofErr w:type="gramEnd"/>
      <w:r w:rsidRPr="00BA5143">
        <w:rPr>
          <w:b/>
          <w:lang w:val="en-US"/>
        </w:rPr>
        <w:t xml:space="preserve"> Changes in provisions for liabilities in 2017</w:t>
      </w:r>
    </w:p>
    <w:p w:rsidR="00563864" w:rsidRPr="00BA5143" w:rsidRDefault="00563864" w:rsidP="00563864">
      <w:pPr>
        <w:pStyle w:val="a4"/>
        <w:spacing w:before="0" w:beforeAutospacing="0" w:after="0" w:afterAutospacing="0"/>
        <w:jc w:val="right"/>
        <w:rPr>
          <w:lang w:val="en-US"/>
        </w:rPr>
      </w:pPr>
      <w:r w:rsidRPr="00BA5143">
        <w:rPr>
          <w:lang w:val="en-US"/>
        </w:rPr>
        <w:t>(ths. UAH.)</w:t>
      </w:r>
    </w:p>
    <w:tbl>
      <w:tblPr>
        <w:tblW w:w="9371" w:type="dxa"/>
        <w:tblInd w:w="93" w:type="dxa"/>
        <w:tblLook w:val="04A0"/>
      </w:tblPr>
      <w:tblGrid>
        <w:gridCol w:w="915"/>
        <w:gridCol w:w="5479"/>
        <w:gridCol w:w="1559"/>
        <w:gridCol w:w="1418"/>
      </w:tblGrid>
      <w:tr w:rsidR="00563864" w:rsidRPr="00BA5143" w:rsidTr="00563864">
        <w:trPr>
          <w:trHeight w:val="181"/>
        </w:trPr>
        <w:tc>
          <w:tcPr>
            <w:tcW w:w="915" w:type="dxa"/>
            <w:tcBorders>
              <w:top w:val="single" w:sz="8" w:space="0" w:color="auto"/>
              <w:left w:val="single" w:sz="8" w:space="0" w:color="auto"/>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Line </w:t>
            </w:r>
          </w:p>
        </w:tc>
        <w:tc>
          <w:tcPr>
            <w:tcW w:w="5479" w:type="dxa"/>
            <w:tcBorders>
              <w:top w:val="single" w:sz="8" w:space="0" w:color="auto"/>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Reserves movement</w:t>
            </w:r>
          </w:p>
        </w:tc>
        <w:tc>
          <w:tcPr>
            <w:tcW w:w="1559" w:type="dxa"/>
            <w:tcBorders>
              <w:top w:val="single" w:sz="8" w:space="0" w:color="auto"/>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Other </w:t>
            </w:r>
          </w:p>
        </w:tc>
        <w:tc>
          <w:tcPr>
            <w:tcW w:w="1418" w:type="dxa"/>
            <w:tcBorders>
              <w:top w:val="single" w:sz="8" w:space="0" w:color="auto"/>
              <w:left w:val="nil"/>
              <w:bottom w:val="single" w:sz="4" w:space="0" w:color="000000"/>
              <w:right w:val="single" w:sz="8" w:space="0" w:color="auto"/>
            </w:tcBorders>
            <w:vAlign w:val="bottom"/>
            <w:hideMark/>
          </w:tcPr>
          <w:p w:rsidR="00563864" w:rsidRPr="00BA5143" w:rsidRDefault="00563864">
            <w:pPr>
              <w:jc w:val="center"/>
              <w:rPr>
                <w:sz w:val="20"/>
                <w:szCs w:val="20"/>
                <w:lang w:val="en-US"/>
              </w:rPr>
            </w:pPr>
            <w:r w:rsidRPr="00BA5143">
              <w:rPr>
                <w:sz w:val="20"/>
                <w:szCs w:val="20"/>
                <w:lang w:val="en-US"/>
              </w:rPr>
              <w:t>Total</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1 </w:t>
            </w:r>
          </w:p>
        </w:tc>
        <w:tc>
          <w:tcPr>
            <w:tcW w:w="5479" w:type="dxa"/>
            <w:tcBorders>
              <w:top w:val="nil"/>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2 </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center"/>
              <w:rPr>
                <w:sz w:val="20"/>
                <w:szCs w:val="20"/>
                <w:lang w:val="en-US"/>
              </w:rPr>
            </w:pPr>
            <w:r w:rsidRPr="00BA5143">
              <w:rPr>
                <w:sz w:val="20"/>
                <w:szCs w:val="20"/>
                <w:lang w:val="en-US"/>
              </w:rPr>
              <w:t>3 </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center"/>
              <w:rPr>
                <w:sz w:val="20"/>
                <w:szCs w:val="20"/>
                <w:lang w:val="en-US"/>
              </w:rPr>
            </w:pPr>
            <w:r w:rsidRPr="00BA5143">
              <w:rPr>
                <w:sz w:val="20"/>
                <w:szCs w:val="20"/>
                <w:lang w:val="en-US"/>
              </w:rPr>
              <w:t>4 </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1 </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Balance as of January 1, 2017</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111</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111</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2</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Formation and / or increase of reserve</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759</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759</w:t>
            </w:r>
          </w:p>
        </w:tc>
      </w:tr>
      <w:tr w:rsidR="00563864" w:rsidRPr="00BA5143" w:rsidTr="00563864">
        <w:trPr>
          <w:trHeight w:val="181"/>
        </w:trPr>
        <w:tc>
          <w:tcPr>
            <w:tcW w:w="915" w:type="dxa"/>
            <w:tcBorders>
              <w:top w:val="nil"/>
              <w:left w:val="single" w:sz="8" w:space="0" w:color="auto"/>
              <w:bottom w:val="single" w:sz="4" w:space="0" w:color="000000"/>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5479" w:type="dxa"/>
            <w:tcBorders>
              <w:top w:val="nil"/>
              <w:left w:val="nil"/>
              <w:bottom w:val="single" w:sz="4" w:space="0" w:color="000000"/>
              <w:right w:val="single" w:sz="4" w:space="0" w:color="000000"/>
            </w:tcBorders>
            <w:hideMark/>
          </w:tcPr>
          <w:p w:rsidR="00563864" w:rsidRPr="00BA5143" w:rsidRDefault="00563864">
            <w:pPr>
              <w:rPr>
                <w:sz w:val="20"/>
                <w:szCs w:val="20"/>
                <w:lang w:val="en-US"/>
              </w:rPr>
            </w:pPr>
            <w:r w:rsidRPr="00BA5143">
              <w:rPr>
                <w:sz w:val="20"/>
                <w:szCs w:val="20"/>
                <w:lang w:val="en-US"/>
              </w:rPr>
              <w:t>Other movement (reduction of reserve)</w:t>
            </w:r>
          </w:p>
        </w:tc>
        <w:tc>
          <w:tcPr>
            <w:tcW w:w="1559" w:type="dxa"/>
            <w:tcBorders>
              <w:top w:val="nil"/>
              <w:left w:val="nil"/>
              <w:bottom w:val="single" w:sz="4" w:space="0" w:color="000000"/>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(759)</w:t>
            </w:r>
          </w:p>
        </w:tc>
        <w:tc>
          <w:tcPr>
            <w:tcW w:w="1418" w:type="dxa"/>
            <w:tcBorders>
              <w:top w:val="nil"/>
              <w:left w:val="nil"/>
              <w:bottom w:val="single" w:sz="4" w:space="0" w:color="000000"/>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(759)</w:t>
            </w:r>
          </w:p>
        </w:tc>
      </w:tr>
      <w:tr w:rsidR="00563864" w:rsidRPr="00BA5143" w:rsidTr="00563864">
        <w:trPr>
          <w:trHeight w:val="181"/>
        </w:trPr>
        <w:tc>
          <w:tcPr>
            <w:tcW w:w="915" w:type="dxa"/>
            <w:tcBorders>
              <w:top w:val="nil"/>
              <w:left w:val="single" w:sz="8" w:space="0" w:color="auto"/>
              <w:bottom w:val="single" w:sz="8" w:space="0" w:color="auto"/>
              <w:right w:val="single" w:sz="4" w:space="0" w:color="000000"/>
            </w:tcBorders>
            <w:vAlign w:val="center"/>
            <w:hideMark/>
          </w:tcPr>
          <w:p w:rsidR="00563864" w:rsidRPr="00BA5143" w:rsidRDefault="00563864">
            <w:pPr>
              <w:jc w:val="center"/>
              <w:rPr>
                <w:sz w:val="20"/>
                <w:szCs w:val="20"/>
                <w:lang w:val="en-US"/>
              </w:rPr>
            </w:pPr>
            <w:r w:rsidRPr="00BA5143">
              <w:rPr>
                <w:sz w:val="20"/>
                <w:szCs w:val="20"/>
                <w:lang w:val="en-US"/>
              </w:rPr>
              <w:t>3</w:t>
            </w:r>
          </w:p>
        </w:tc>
        <w:tc>
          <w:tcPr>
            <w:tcW w:w="5479" w:type="dxa"/>
            <w:tcBorders>
              <w:top w:val="nil"/>
              <w:left w:val="nil"/>
              <w:bottom w:val="single" w:sz="8" w:space="0" w:color="auto"/>
              <w:right w:val="single" w:sz="4" w:space="0" w:color="000000"/>
            </w:tcBorders>
            <w:hideMark/>
          </w:tcPr>
          <w:p w:rsidR="00563864" w:rsidRPr="00BA5143" w:rsidRDefault="00563864">
            <w:pPr>
              <w:rPr>
                <w:sz w:val="20"/>
                <w:szCs w:val="20"/>
                <w:lang w:val="en-US"/>
              </w:rPr>
            </w:pPr>
            <w:r w:rsidRPr="00BA5143">
              <w:rPr>
                <w:sz w:val="20"/>
                <w:szCs w:val="20"/>
                <w:lang w:val="en-US"/>
              </w:rPr>
              <w:t>Balance at the end of the day on December 31, 2017</w:t>
            </w:r>
          </w:p>
        </w:tc>
        <w:tc>
          <w:tcPr>
            <w:tcW w:w="1559" w:type="dxa"/>
            <w:tcBorders>
              <w:top w:val="nil"/>
              <w:left w:val="nil"/>
              <w:bottom w:val="single" w:sz="8" w:space="0" w:color="auto"/>
              <w:right w:val="single" w:sz="4" w:space="0" w:color="000000"/>
            </w:tcBorders>
            <w:vAlign w:val="bottom"/>
            <w:hideMark/>
          </w:tcPr>
          <w:p w:rsidR="00563864" w:rsidRPr="00BA5143" w:rsidRDefault="00563864">
            <w:pPr>
              <w:jc w:val="right"/>
              <w:rPr>
                <w:sz w:val="20"/>
                <w:szCs w:val="20"/>
                <w:lang w:val="en-US"/>
              </w:rPr>
            </w:pPr>
            <w:r w:rsidRPr="00BA5143">
              <w:rPr>
                <w:sz w:val="20"/>
                <w:szCs w:val="20"/>
                <w:lang w:val="en-US"/>
              </w:rPr>
              <w:t>111</w:t>
            </w:r>
          </w:p>
        </w:tc>
        <w:tc>
          <w:tcPr>
            <w:tcW w:w="1418" w:type="dxa"/>
            <w:tcBorders>
              <w:top w:val="nil"/>
              <w:left w:val="nil"/>
              <w:bottom w:val="single" w:sz="8" w:space="0" w:color="auto"/>
              <w:right w:val="single" w:sz="8" w:space="0" w:color="auto"/>
            </w:tcBorders>
            <w:vAlign w:val="bottom"/>
            <w:hideMark/>
          </w:tcPr>
          <w:p w:rsidR="00563864" w:rsidRPr="00BA5143" w:rsidRDefault="00563864">
            <w:pPr>
              <w:jc w:val="right"/>
              <w:rPr>
                <w:sz w:val="20"/>
                <w:szCs w:val="20"/>
                <w:lang w:val="en-US"/>
              </w:rPr>
            </w:pPr>
            <w:r w:rsidRPr="00BA5143">
              <w:rPr>
                <w:sz w:val="20"/>
                <w:szCs w:val="20"/>
                <w:lang w:val="en-US"/>
              </w:rPr>
              <w:t>111</w:t>
            </w:r>
          </w:p>
        </w:tc>
      </w:tr>
    </w:tbl>
    <w:p w:rsidR="00A44C50" w:rsidRPr="00BA5143" w:rsidRDefault="00A44C50" w:rsidP="00E533AD">
      <w:pPr>
        <w:spacing w:line="240" w:lineRule="exact"/>
        <w:jc w:val="both"/>
        <w:rPr>
          <w:b/>
          <w:highlight w:val="yellow"/>
          <w:lang w:val="en-US"/>
        </w:rPr>
      </w:pPr>
    </w:p>
    <w:p w:rsidR="00563864" w:rsidRPr="00BA5143" w:rsidRDefault="00563864" w:rsidP="00563864">
      <w:pPr>
        <w:spacing w:line="240" w:lineRule="exact"/>
        <w:rPr>
          <w:b/>
          <w:lang w:val="en-US"/>
        </w:rPr>
      </w:pPr>
      <w:r w:rsidRPr="00BA5143">
        <w:rPr>
          <w:b/>
          <w:lang w:val="en-US"/>
        </w:rPr>
        <w:t xml:space="preserve">NOTE 13. OTHER LIABILITIES </w:t>
      </w:r>
    </w:p>
    <w:p w:rsidR="00121104" w:rsidRPr="00BA5143" w:rsidRDefault="00121104" w:rsidP="00121104">
      <w:pPr>
        <w:spacing w:line="240" w:lineRule="exact"/>
        <w:jc w:val="right"/>
        <w:rPr>
          <w:lang w:val="en-US"/>
        </w:rPr>
      </w:pPr>
      <w:r w:rsidRPr="00BA5143">
        <w:rPr>
          <w:lang w:val="en-US"/>
        </w:rPr>
        <w:t>(ths. UAH.)</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5625"/>
        <w:gridCol w:w="1559"/>
        <w:gridCol w:w="1418"/>
      </w:tblGrid>
      <w:tr w:rsidR="00121104" w:rsidRPr="00BA5143" w:rsidTr="00121104">
        <w:trPr>
          <w:trHeight w:val="255"/>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Line </w:t>
            </w:r>
          </w:p>
        </w:tc>
        <w:tc>
          <w:tcPr>
            <w:tcW w:w="5625"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spacing w:line="200" w:lineRule="exact"/>
              <w:jc w:val="center"/>
              <w:rPr>
                <w:sz w:val="20"/>
                <w:lang w:val="en-US"/>
              </w:rPr>
            </w:pPr>
            <w:r w:rsidRPr="00BA5143">
              <w:rPr>
                <w:sz w:val="20"/>
                <w:lang w:val="en-US"/>
              </w:rPr>
              <w:t>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spacing w:line="200" w:lineRule="exact"/>
              <w:jc w:val="center"/>
              <w:rPr>
                <w:sz w:val="20"/>
                <w:lang w:val="en-US"/>
              </w:rPr>
            </w:pPr>
            <w:r w:rsidRPr="00BA5143">
              <w:rPr>
                <w:sz w:val="20"/>
                <w:lang w:val="en-US"/>
              </w:rPr>
              <w:t xml:space="preserve">2017 </w:t>
            </w:r>
          </w:p>
        </w:tc>
      </w:tr>
      <w:tr w:rsidR="00121104" w:rsidRPr="00BA5143" w:rsidTr="00121104">
        <w:trPr>
          <w:trHeight w:val="255"/>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1 </w:t>
            </w:r>
          </w:p>
        </w:tc>
        <w:tc>
          <w:tcPr>
            <w:tcW w:w="5625"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4</w:t>
            </w:r>
          </w:p>
        </w:tc>
      </w:tr>
      <w:tr w:rsidR="00121104" w:rsidRPr="00BA5143" w:rsidTr="00121104">
        <w:trPr>
          <w:trHeight w:val="510"/>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1 </w:t>
            </w:r>
          </w:p>
        </w:tc>
        <w:tc>
          <w:tcPr>
            <w:tcW w:w="5625" w:type="dxa"/>
            <w:tcBorders>
              <w:top w:val="single" w:sz="4" w:space="0" w:color="auto"/>
              <w:left w:val="single" w:sz="4" w:space="0" w:color="auto"/>
              <w:bottom w:val="single" w:sz="4" w:space="0" w:color="auto"/>
              <w:right w:val="single" w:sz="4" w:space="0" w:color="auto"/>
            </w:tcBorders>
            <w:hideMark/>
          </w:tcPr>
          <w:p w:rsidR="00121104" w:rsidRPr="00BA5143" w:rsidRDefault="00121104">
            <w:pPr>
              <w:rPr>
                <w:sz w:val="20"/>
                <w:szCs w:val="20"/>
                <w:lang w:val="en-US"/>
              </w:rPr>
            </w:pPr>
            <w:r w:rsidRPr="00BA5143">
              <w:rPr>
                <w:sz w:val="20"/>
                <w:szCs w:val="20"/>
                <w:lang w:val="en-US"/>
              </w:rPr>
              <w:t>Accounts payable for taxes and duties, except for income tax</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1</w:t>
            </w:r>
          </w:p>
        </w:tc>
      </w:tr>
      <w:tr w:rsidR="00121104" w:rsidRPr="00BA5143" w:rsidTr="00121104">
        <w:trPr>
          <w:trHeight w:val="510"/>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2 </w:t>
            </w:r>
          </w:p>
        </w:tc>
        <w:tc>
          <w:tcPr>
            <w:tcW w:w="5625" w:type="dxa"/>
            <w:tcBorders>
              <w:top w:val="single" w:sz="4" w:space="0" w:color="auto"/>
              <w:left w:val="single" w:sz="4" w:space="0" w:color="auto"/>
              <w:bottom w:val="single" w:sz="4" w:space="0" w:color="auto"/>
              <w:right w:val="single" w:sz="4" w:space="0" w:color="auto"/>
            </w:tcBorders>
            <w:hideMark/>
          </w:tcPr>
          <w:p w:rsidR="00121104" w:rsidRPr="00BA5143" w:rsidRDefault="00121104">
            <w:pPr>
              <w:rPr>
                <w:sz w:val="20"/>
                <w:szCs w:val="20"/>
                <w:lang w:val="en-US"/>
              </w:rPr>
            </w:pPr>
            <w:r w:rsidRPr="00BA5143">
              <w:rPr>
                <w:sz w:val="20"/>
                <w:szCs w:val="20"/>
                <w:lang w:val="en-US"/>
              </w:rPr>
              <w:t>Accounts payable on settlements with bank employees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340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261</w:t>
            </w:r>
          </w:p>
        </w:tc>
      </w:tr>
      <w:tr w:rsidR="00121104" w:rsidRPr="00BA5143" w:rsidTr="00121104">
        <w:trPr>
          <w:trHeight w:val="281"/>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3</w:t>
            </w:r>
          </w:p>
        </w:tc>
        <w:tc>
          <w:tcPr>
            <w:tcW w:w="5625" w:type="dxa"/>
            <w:tcBorders>
              <w:top w:val="single" w:sz="4" w:space="0" w:color="auto"/>
              <w:left w:val="single" w:sz="4" w:space="0" w:color="auto"/>
              <w:bottom w:val="single" w:sz="4" w:space="0" w:color="auto"/>
              <w:right w:val="single" w:sz="4" w:space="0" w:color="auto"/>
            </w:tcBorders>
            <w:hideMark/>
          </w:tcPr>
          <w:p w:rsidR="00121104" w:rsidRPr="00BA5143" w:rsidRDefault="00121104">
            <w:pPr>
              <w:rPr>
                <w:sz w:val="20"/>
                <w:szCs w:val="20"/>
                <w:lang w:val="en-US"/>
              </w:rPr>
            </w:pPr>
            <w:r w:rsidRPr="00BA5143">
              <w:rPr>
                <w:sz w:val="20"/>
                <w:szCs w:val="20"/>
                <w:lang w:val="en-US"/>
              </w:rPr>
              <w:t>Another debt</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6</w:t>
            </w:r>
          </w:p>
        </w:tc>
      </w:tr>
      <w:tr w:rsidR="00121104" w:rsidRPr="00BA5143" w:rsidTr="00121104">
        <w:trPr>
          <w:trHeight w:val="270"/>
        </w:trPr>
        <w:tc>
          <w:tcPr>
            <w:tcW w:w="76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center"/>
              <w:rPr>
                <w:sz w:val="20"/>
                <w:szCs w:val="20"/>
                <w:lang w:val="en-US"/>
              </w:rPr>
            </w:pPr>
            <w:r w:rsidRPr="00BA5143">
              <w:rPr>
                <w:sz w:val="20"/>
                <w:szCs w:val="20"/>
                <w:lang w:val="en-US"/>
              </w:rPr>
              <w:t>4 </w:t>
            </w:r>
          </w:p>
        </w:tc>
        <w:tc>
          <w:tcPr>
            <w:tcW w:w="5625" w:type="dxa"/>
            <w:tcBorders>
              <w:top w:val="single" w:sz="4" w:space="0" w:color="auto"/>
              <w:left w:val="single" w:sz="4" w:space="0" w:color="auto"/>
              <w:bottom w:val="single" w:sz="4" w:space="0" w:color="auto"/>
              <w:right w:val="single" w:sz="4" w:space="0" w:color="auto"/>
            </w:tcBorders>
            <w:hideMark/>
          </w:tcPr>
          <w:p w:rsidR="00121104" w:rsidRPr="00BA5143" w:rsidRDefault="00121104">
            <w:pPr>
              <w:rPr>
                <w:sz w:val="20"/>
                <w:szCs w:val="20"/>
                <w:lang w:val="en-US"/>
              </w:rPr>
            </w:pPr>
            <w:r w:rsidRPr="00BA5143">
              <w:rPr>
                <w:sz w:val="20"/>
                <w:szCs w:val="20"/>
                <w:lang w:val="en-US"/>
              </w:rPr>
              <w:t>Total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347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1104" w:rsidRPr="00BA5143" w:rsidRDefault="00121104">
            <w:pPr>
              <w:jc w:val="right"/>
              <w:rPr>
                <w:sz w:val="20"/>
                <w:szCs w:val="20"/>
                <w:lang w:val="en-US"/>
              </w:rPr>
            </w:pPr>
            <w:r w:rsidRPr="00BA5143">
              <w:rPr>
                <w:sz w:val="20"/>
                <w:szCs w:val="20"/>
                <w:lang w:val="en-US"/>
              </w:rPr>
              <w:t>268</w:t>
            </w:r>
          </w:p>
        </w:tc>
      </w:tr>
    </w:tbl>
    <w:p w:rsidR="007755CB" w:rsidRPr="00BA5143" w:rsidRDefault="007755CB" w:rsidP="00121104">
      <w:pPr>
        <w:spacing w:line="240" w:lineRule="exact"/>
        <w:jc w:val="right"/>
        <w:rPr>
          <w:b/>
          <w:highlight w:val="yellow"/>
          <w:lang w:val="en-US"/>
        </w:rPr>
      </w:pPr>
    </w:p>
    <w:p w:rsidR="00C1399C" w:rsidRPr="00BA5143" w:rsidRDefault="00C1399C" w:rsidP="007755CB">
      <w:pPr>
        <w:pStyle w:val="afc"/>
        <w:tabs>
          <w:tab w:val="left" w:pos="851"/>
        </w:tabs>
        <w:spacing w:line="240" w:lineRule="exact"/>
        <w:ind w:left="0" w:firstLine="540"/>
        <w:jc w:val="both"/>
        <w:rPr>
          <w:lang w:val="en-US"/>
        </w:rPr>
      </w:pPr>
    </w:p>
    <w:p w:rsidR="00C1399C" w:rsidRPr="00BA5143" w:rsidRDefault="00C1399C" w:rsidP="00C1399C">
      <w:pPr>
        <w:pStyle w:val="afc"/>
        <w:tabs>
          <w:tab w:val="left" w:pos="851"/>
        </w:tabs>
        <w:spacing w:line="240" w:lineRule="exact"/>
        <w:ind w:left="0" w:firstLine="709"/>
        <w:jc w:val="both"/>
        <w:rPr>
          <w:b/>
          <w:bCs/>
          <w:lang w:val="en-US"/>
        </w:rPr>
      </w:pPr>
      <w:r w:rsidRPr="00BA5143">
        <w:rPr>
          <w:b/>
          <w:bCs/>
          <w:lang w:val="en-US"/>
        </w:rPr>
        <w:t>NOTE 14. SUBORDINATED DEBT</w:t>
      </w:r>
    </w:p>
    <w:p w:rsidR="00C1399C" w:rsidRPr="00BA5143" w:rsidRDefault="00C1399C" w:rsidP="00C1399C">
      <w:pPr>
        <w:pStyle w:val="afc"/>
        <w:tabs>
          <w:tab w:val="left" w:pos="851"/>
        </w:tabs>
        <w:spacing w:line="240" w:lineRule="exact"/>
        <w:ind w:left="0" w:firstLine="709"/>
        <w:jc w:val="both"/>
        <w:rPr>
          <w:lang w:val="en-US"/>
        </w:rPr>
      </w:pP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The carrying amount of liabilities under subordinated debt at the end of the day of December 31, 2018 is 32 754 thousand UAH, including:</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 subordinated debt - 43 900 thousand UAH;</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 xml:space="preserve">- </w:t>
      </w:r>
      <w:r w:rsidR="00201937" w:rsidRPr="00BA5143">
        <w:rPr>
          <w:lang w:val="en-US"/>
        </w:rPr>
        <w:t>unamortized</w:t>
      </w:r>
      <w:r w:rsidRPr="00BA5143">
        <w:rPr>
          <w:lang w:val="en-US"/>
        </w:rPr>
        <w:t xml:space="preserve"> discount - (11 309) thousand UAH;</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 accrued interest expense - 163 thousand UAH.</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Funds are invoiced in accordance with the following agreements:</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 xml:space="preserve">1. Supplementary agreement No. 1 dated April 28, 2015, on amendments to extend the term for subordinated debt to the Contract on attraction of funds under conditions of </w:t>
      </w:r>
      <w:r w:rsidRPr="00BA5143">
        <w:rPr>
          <w:lang w:val="en-US"/>
        </w:rPr>
        <w:lastRenderedPageBreak/>
        <w:t>subordinated debt No. 2 dated November 25, 2009, for the amount of 32 000 000,00 UAH. for the period up to 28.04.2021 with an interest rate of 6%.</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The decision of the Commission of the National Bank of Ukraine to oversee and regulate the activities of banks was granted the Bank's permission to take into account the funds attracted under the terms of subordinated debt to the Bank's capital of November 25, 2009. By decision of the Commission of the National Bank of Ukraine on supervision and regulation of banking activities, oversight (overtime) of payment systems on April 28, 2015, the decision No. 182 on making amendments to the permit in the part of its extension in connection with the extension of the term of the engagement contract was granted. funds on subordinated debt terms.</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2. Agreements on attraction of funds on subordinated debt from 07.02.2018 to the amount of 11 900 000,00 UAH for the period until 09.02.2023 with an interest rate of 0%.</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By resolution of the National Bank of Ukraine Committee on Supervision and Regulation of Banking Activities, oversight (overtime) of payment systems dated April 13, 2018, the Bank authorized the Bank to issue funds authorized for subordinated debt to the Bank's capital.</w:t>
      </w:r>
    </w:p>
    <w:p w:rsidR="00C1399C" w:rsidRPr="00BA5143" w:rsidRDefault="00C1399C" w:rsidP="00C1399C">
      <w:pPr>
        <w:pStyle w:val="afc"/>
        <w:tabs>
          <w:tab w:val="left" w:pos="851"/>
        </w:tabs>
        <w:spacing w:line="240" w:lineRule="exact"/>
        <w:ind w:left="0" w:firstLine="709"/>
        <w:jc w:val="both"/>
        <w:rPr>
          <w:lang w:val="en-US"/>
        </w:rPr>
      </w:pPr>
      <w:r w:rsidRPr="00BA5143">
        <w:rPr>
          <w:lang w:val="en-US"/>
        </w:rPr>
        <w:t>Capitalization of interest on the above-mentioned Agreements is not carried out.</w:t>
      </w:r>
    </w:p>
    <w:p w:rsidR="00CB7B8B" w:rsidRPr="00BA5143" w:rsidRDefault="00CB7B8B" w:rsidP="000331EB">
      <w:pPr>
        <w:spacing w:line="240" w:lineRule="exact"/>
        <w:rPr>
          <w:b/>
          <w:highlight w:val="yellow"/>
          <w:lang w:val="en-US"/>
        </w:rPr>
      </w:pPr>
    </w:p>
    <w:p w:rsidR="00121104" w:rsidRPr="00BA5143" w:rsidRDefault="00121104" w:rsidP="00121104">
      <w:pPr>
        <w:spacing w:line="240" w:lineRule="exact"/>
        <w:rPr>
          <w:lang w:val="en-US"/>
        </w:rPr>
      </w:pPr>
      <w:r w:rsidRPr="00BA5143">
        <w:rPr>
          <w:b/>
          <w:lang w:val="en-US"/>
        </w:rPr>
        <w:t>NOTE</w:t>
      </w:r>
      <w:r w:rsidR="000331EB" w:rsidRPr="00BA5143">
        <w:rPr>
          <w:b/>
          <w:lang w:val="en-US"/>
        </w:rPr>
        <w:t xml:space="preserve"> </w:t>
      </w:r>
      <w:r w:rsidR="00FC2F89" w:rsidRPr="00BA5143">
        <w:rPr>
          <w:b/>
          <w:lang w:val="en-US"/>
        </w:rPr>
        <w:t>1</w:t>
      </w:r>
      <w:r w:rsidR="00D73B11" w:rsidRPr="00BA5143">
        <w:rPr>
          <w:b/>
          <w:lang w:val="en-US"/>
        </w:rPr>
        <w:t>5</w:t>
      </w:r>
      <w:r w:rsidR="000331EB" w:rsidRPr="00BA5143">
        <w:rPr>
          <w:b/>
          <w:lang w:val="en-US"/>
        </w:rPr>
        <w:t xml:space="preserve">. </w:t>
      </w:r>
      <w:r w:rsidRPr="00BA5143">
        <w:rPr>
          <w:b/>
          <w:lang w:val="en-US"/>
        </w:rPr>
        <w:t>SHARE CAPITAL AND</w:t>
      </w:r>
      <w:r w:rsidR="000331EB" w:rsidRPr="00BA5143">
        <w:rPr>
          <w:b/>
          <w:lang w:val="en-US"/>
        </w:rPr>
        <w:t xml:space="preserve"> </w:t>
      </w:r>
      <w:r w:rsidRPr="00BA5143">
        <w:rPr>
          <w:b/>
          <w:lang w:val="en-US"/>
        </w:rPr>
        <w:t>RESIDENTIAL DIFFERENCES (EMISSION INCOME)</w:t>
      </w:r>
      <w:r w:rsidR="000331EB" w:rsidRPr="00BA5143">
        <w:rPr>
          <w:lang w:val="en-US"/>
        </w:rPr>
        <w:t xml:space="preserve">  </w:t>
      </w:r>
    </w:p>
    <w:p w:rsidR="00121104" w:rsidRPr="00BA5143" w:rsidRDefault="00121104" w:rsidP="00121104">
      <w:pPr>
        <w:spacing w:line="240" w:lineRule="exact"/>
        <w:jc w:val="right"/>
        <w:rPr>
          <w:lang w:val="en-US"/>
        </w:rPr>
      </w:pPr>
      <w:r w:rsidRPr="00BA5143">
        <w:rPr>
          <w:lang w:val="en-US"/>
        </w:rPr>
        <w:t>(ths. UAH.)</w:t>
      </w:r>
    </w:p>
    <w:tbl>
      <w:tblPr>
        <w:tblW w:w="9495" w:type="dxa"/>
        <w:tblInd w:w="93" w:type="dxa"/>
        <w:tblLayout w:type="fixed"/>
        <w:tblLook w:val="04A0"/>
      </w:tblPr>
      <w:tblGrid>
        <w:gridCol w:w="768"/>
        <w:gridCol w:w="4207"/>
        <w:gridCol w:w="1134"/>
        <w:gridCol w:w="1015"/>
        <w:gridCol w:w="1395"/>
        <w:gridCol w:w="976"/>
      </w:tblGrid>
      <w:tr w:rsidR="00121104" w:rsidRPr="00BA5143" w:rsidTr="00121104">
        <w:trPr>
          <w:trHeight w:val="181"/>
        </w:trPr>
        <w:tc>
          <w:tcPr>
            <w:tcW w:w="769" w:type="dxa"/>
            <w:tcBorders>
              <w:top w:val="single" w:sz="8" w:space="0" w:color="auto"/>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Line </w:t>
            </w:r>
          </w:p>
        </w:tc>
        <w:tc>
          <w:tcPr>
            <w:tcW w:w="4208" w:type="dxa"/>
            <w:tcBorders>
              <w:top w:val="single" w:sz="8" w:space="0" w:color="auto"/>
              <w:left w:val="nil"/>
              <w:bottom w:val="single" w:sz="4" w:space="0" w:color="000000"/>
              <w:right w:val="single" w:sz="4" w:space="0" w:color="000000"/>
            </w:tcBorders>
            <w:vAlign w:val="center"/>
            <w:hideMark/>
          </w:tcPr>
          <w:p w:rsidR="00121104" w:rsidRPr="00BA5143" w:rsidRDefault="00121104">
            <w:pPr>
              <w:spacing w:line="200" w:lineRule="exact"/>
              <w:jc w:val="center"/>
              <w:rPr>
                <w:sz w:val="20"/>
                <w:lang w:val="en-US"/>
              </w:rPr>
            </w:pPr>
            <w:r w:rsidRPr="00BA5143">
              <w:rPr>
                <w:sz w:val="20"/>
                <w:lang w:val="en-US"/>
              </w:rPr>
              <w:t>Item</w:t>
            </w:r>
          </w:p>
        </w:tc>
        <w:tc>
          <w:tcPr>
            <w:tcW w:w="1134" w:type="dxa"/>
            <w:tcBorders>
              <w:top w:val="single" w:sz="8" w:space="0" w:color="auto"/>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Number of shares in circulation (thousand pieces)</w:t>
            </w:r>
          </w:p>
        </w:tc>
        <w:tc>
          <w:tcPr>
            <w:tcW w:w="1015" w:type="dxa"/>
            <w:tcBorders>
              <w:top w:val="single" w:sz="8" w:space="0" w:color="auto"/>
              <w:left w:val="nil"/>
              <w:bottom w:val="single" w:sz="4" w:space="0" w:color="000000"/>
              <w:right w:val="single" w:sz="4" w:space="0" w:color="000000"/>
            </w:tcBorders>
            <w:vAlign w:val="center"/>
            <w:hideMark/>
          </w:tcPr>
          <w:p w:rsidR="00121104" w:rsidRPr="00BA5143" w:rsidRDefault="00121104">
            <w:pPr>
              <w:rPr>
                <w:sz w:val="20"/>
                <w:szCs w:val="20"/>
                <w:lang w:val="en-US"/>
              </w:rPr>
            </w:pPr>
            <w:r w:rsidRPr="00BA5143">
              <w:rPr>
                <w:sz w:val="20"/>
                <w:szCs w:val="20"/>
                <w:lang w:val="en-US"/>
              </w:rPr>
              <w:t>Simple shares</w:t>
            </w:r>
          </w:p>
        </w:tc>
        <w:tc>
          <w:tcPr>
            <w:tcW w:w="1395" w:type="dxa"/>
            <w:tcBorders>
              <w:top w:val="single" w:sz="8" w:space="0" w:color="auto"/>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Emission Difference /</w:t>
            </w:r>
          </w:p>
          <w:p w:rsidR="00121104" w:rsidRPr="00BA5143" w:rsidRDefault="00121104">
            <w:pPr>
              <w:jc w:val="center"/>
              <w:rPr>
                <w:sz w:val="20"/>
                <w:szCs w:val="20"/>
                <w:lang w:val="en-US"/>
              </w:rPr>
            </w:pPr>
            <w:r w:rsidRPr="00BA5143">
              <w:rPr>
                <w:sz w:val="20"/>
                <w:szCs w:val="20"/>
                <w:lang w:val="en-US"/>
              </w:rPr>
              <w:t>Expenses related to the issue of shares</w:t>
            </w:r>
          </w:p>
        </w:tc>
        <w:tc>
          <w:tcPr>
            <w:tcW w:w="976" w:type="dxa"/>
            <w:tcBorders>
              <w:top w:val="single" w:sz="8" w:space="0" w:color="auto"/>
              <w:left w:val="nil"/>
              <w:bottom w:val="single" w:sz="4" w:space="0" w:color="000000"/>
              <w:right w:val="single" w:sz="8" w:space="0" w:color="auto"/>
            </w:tcBorders>
            <w:vAlign w:val="center"/>
            <w:hideMark/>
          </w:tcPr>
          <w:p w:rsidR="00121104" w:rsidRPr="00BA5143" w:rsidRDefault="00121104">
            <w:pPr>
              <w:ind w:left="-391" w:firstLine="391"/>
              <w:jc w:val="center"/>
              <w:rPr>
                <w:sz w:val="20"/>
                <w:szCs w:val="20"/>
                <w:lang w:val="en-US"/>
              </w:rPr>
            </w:pPr>
            <w:r w:rsidRPr="00BA5143">
              <w:rPr>
                <w:sz w:val="20"/>
                <w:szCs w:val="20"/>
                <w:lang w:val="en-US"/>
              </w:rPr>
              <w:t>Total</w:t>
            </w:r>
          </w:p>
        </w:tc>
      </w:tr>
      <w:tr w:rsidR="00121104" w:rsidRPr="00BA5143" w:rsidTr="00121104">
        <w:trPr>
          <w:trHeight w:val="181"/>
        </w:trPr>
        <w:tc>
          <w:tcPr>
            <w:tcW w:w="769" w:type="dxa"/>
            <w:tcBorders>
              <w:top w:val="nil"/>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1 </w:t>
            </w:r>
          </w:p>
        </w:tc>
        <w:tc>
          <w:tcPr>
            <w:tcW w:w="4208" w:type="dxa"/>
            <w:tcBorders>
              <w:top w:val="nil"/>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2 </w:t>
            </w:r>
          </w:p>
        </w:tc>
        <w:tc>
          <w:tcPr>
            <w:tcW w:w="1134" w:type="dxa"/>
            <w:tcBorders>
              <w:top w:val="nil"/>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3 </w:t>
            </w:r>
          </w:p>
        </w:tc>
        <w:tc>
          <w:tcPr>
            <w:tcW w:w="1015" w:type="dxa"/>
            <w:tcBorders>
              <w:top w:val="nil"/>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4 </w:t>
            </w:r>
          </w:p>
        </w:tc>
        <w:tc>
          <w:tcPr>
            <w:tcW w:w="1395" w:type="dxa"/>
            <w:tcBorders>
              <w:top w:val="nil"/>
              <w:left w:val="nil"/>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5 </w:t>
            </w:r>
          </w:p>
        </w:tc>
        <w:tc>
          <w:tcPr>
            <w:tcW w:w="976" w:type="dxa"/>
            <w:tcBorders>
              <w:top w:val="nil"/>
              <w:left w:val="nil"/>
              <w:bottom w:val="single" w:sz="4" w:space="0" w:color="000000"/>
              <w:right w:val="single" w:sz="8" w:space="0" w:color="auto"/>
            </w:tcBorders>
            <w:vAlign w:val="center"/>
            <w:hideMark/>
          </w:tcPr>
          <w:p w:rsidR="00121104" w:rsidRPr="00BA5143" w:rsidRDefault="00121104">
            <w:pPr>
              <w:jc w:val="center"/>
              <w:rPr>
                <w:sz w:val="20"/>
                <w:szCs w:val="20"/>
                <w:lang w:val="en-US"/>
              </w:rPr>
            </w:pPr>
            <w:r w:rsidRPr="00BA5143">
              <w:rPr>
                <w:sz w:val="20"/>
                <w:szCs w:val="20"/>
                <w:lang w:val="en-US"/>
              </w:rPr>
              <w:t>6</w:t>
            </w:r>
          </w:p>
        </w:tc>
      </w:tr>
      <w:tr w:rsidR="00121104" w:rsidRPr="00BA5143" w:rsidTr="00121104">
        <w:trPr>
          <w:trHeight w:val="181"/>
        </w:trPr>
        <w:tc>
          <w:tcPr>
            <w:tcW w:w="769" w:type="dxa"/>
            <w:tcBorders>
              <w:top w:val="nil"/>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1 </w:t>
            </w:r>
          </w:p>
        </w:tc>
        <w:tc>
          <w:tcPr>
            <w:tcW w:w="4208" w:type="dxa"/>
            <w:tcBorders>
              <w:top w:val="nil"/>
              <w:left w:val="nil"/>
              <w:bottom w:val="single" w:sz="4" w:space="0" w:color="000000"/>
              <w:right w:val="single" w:sz="4" w:space="0" w:color="000000"/>
            </w:tcBorders>
            <w:hideMark/>
          </w:tcPr>
          <w:p w:rsidR="00121104" w:rsidRPr="00BA5143" w:rsidRDefault="00121104">
            <w:pPr>
              <w:rPr>
                <w:sz w:val="20"/>
                <w:szCs w:val="20"/>
                <w:lang w:val="en-US"/>
              </w:rPr>
            </w:pPr>
            <w:r w:rsidRPr="00BA5143">
              <w:rPr>
                <w:sz w:val="20"/>
                <w:szCs w:val="20"/>
                <w:lang w:val="en-US"/>
              </w:rPr>
              <w:t>Balance as of January 1, 2017</w:t>
            </w:r>
          </w:p>
        </w:tc>
        <w:tc>
          <w:tcPr>
            <w:tcW w:w="1134"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240</w:t>
            </w:r>
          </w:p>
        </w:tc>
        <w:tc>
          <w:tcPr>
            <w:tcW w:w="101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120 000</w:t>
            </w:r>
          </w:p>
        </w:tc>
        <w:tc>
          <w:tcPr>
            <w:tcW w:w="139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(99)</w:t>
            </w:r>
          </w:p>
        </w:tc>
        <w:tc>
          <w:tcPr>
            <w:tcW w:w="976" w:type="dxa"/>
            <w:tcBorders>
              <w:top w:val="nil"/>
              <w:left w:val="nil"/>
              <w:bottom w:val="single" w:sz="4" w:space="0" w:color="000000"/>
              <w:right w:val="single" w:sz="8" w:space="0" w:color="auto"/>
            </w:tcBorders>
            <w:vAlign w:val="center"/>
            <w:hideMark/>
          </w:tcPr>
          <w:p w:rsidR="00121104" w:rsidRPr="00BA5143" w:rsidRDefault="00121104">
            <w:pPr>
              <w:jc w:val="right"/>
              <w:rPr>
                <w:sz w:val="20"/>
                <w:szCs w:val="20"/>
                <w:lang w:val="en-US"/>
              </w:rPr>
            </w:pPr>
            <w:r w:rsidRPr="00BA5143">
              <w:rPr>
                <w:sz w:val="20"/>
                <w:szCs w:val="20"/>
                <w:lang w:val="en-US"/>
              </w:rPr>
              <w:t>119 901</w:t>
            </w:r>
          </w:p>
        </w:tc>
      </w:tr>
      <w:tr w:rsidR="00121104" w:rsidRPr="00BA5143" w:rsidTr="00121104">
        <w:trPr>
          <w:trHeight w:val="181"/>
        </w:trPr>
        <w:tc>
          <w:tcPr>
            <w:tcW w:w="769" w:type="dxa"/>
            <w:tcBorders>
              <w:top w:val="nil"/>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2</w:t>
            </w:r>
          </w:p>
        </w:tc>
        <w:tc>
          <w:tcPr>
            <w:tcW w:w="4208" w:type="dxa"/>
            <w:tcBorders>
              <w:top w:val="nil"/>
              <w:left w:val="nil"/>
              <w:bottom w:val="single" w:sz="4" w:space="0" w:color="000000"/>
              <w:right w:val="single" w:sz="4" w:space="0" w:color="000000"/>
            </w:tcBorders>
            <w:hideMark/>
          </w:tcPr>
          <w:p w:rsidR="00121104" w:rsidRPr="00BA5143" w:rsidRDefault="00121104">
            <w:pPr>
              <w:rPr>
                <w:sz w:val="20"/>
                <w:szCs w:val="20"/>
                <w:lang w:val="en-US"/>
              </w:rPr>
            </w:pPr>
            <w:r w:rsidRPr="00BA5143">
              <w:rPr>
                <w:sz w:val="20"/>
                <w:szCs w:val="20"/>
                <w:lang w:val="en-US"/>
              </w:rPr>
              <w:t>Contributions for shares (lots, shares) of a new issue</w:t>
            </w:r>
          </w:p>
        </w:tc>
        <w:tc>
          <w:tcPr>
            <w:tcW w:w="1134"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248</w:t>
            </w:r>
          </w:p>
        </w:tc>
        <w:tc>
          <w:tcPr>
            <w:tcW w:w="101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124 000</w:t>
            </w:r>
          </w:p>
        </w:tc>
        <w:tc>
          <w:tcPr>
            <w:tcW w:w="139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(162)</w:t>
            </w:r>
          </w:p>
        </w:tc>
        <w:tc>
          <w:tcPr>
            <w:tcW w:w="976" w:type="dxa"/>
            <w:tcBorders>
              <w:top w:val="nil"/>
              <w:left w:val="nil"/>
              <w:bottom w:val="single" w:sz="4" w:space="0" w:color="000000"/>
              <w:right w:val="single" w:sz="8" w:space="0" w:color="auto"/>
            </w:tcBorders>
            <w:vAlign w:val="center"/>
            <w:hideMark/>
          </w:tcPr>
          <w:p w:rsidR="00121104" w:rsidRPr="00BA5143" w:rsidRDefault="00121104">
            <w:pPr>
              <w:jc w:val="right"/>
              <w:rPr>
                <w:sz w:val="20"/>
                <w:szCs w:val="20"/>
                <w:lang w:val="en-US"/>
              </w:rPr>
            </w:pPr>
            <w:r w:rsidRPr="00BA5143">
              <w:rPr>
                <w:sz w:val="20"/>
                <w:szCs w:val="20"/>
                <w:lang w:val="en-US"/>
              </w:rPr>
              <w:t>123 838</w:t>
            </w:r>
          </w:p>
        </w:tc>
      </w:tr>
      <w:tr w:rsidR="00121104" w:rsidRPr="00BA5143" w:rsidTr="00121104">
        <w:trPr>
          <w:trHeight w:val="181"/>
        </w:trPr>
        <w:tc>
          <w:tcPr>
            <w:tcW w:w="769" w:type="dxa"/>
            <w:tcBorders>
              <w:top w:val="nil"/>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3</w:t>
            </w:r>
          </w:p>
        </w:tc>
        <w:tc>
          <w:tcPr>
            <w:tcW w:w="4208" w:type="dxa"/>
            <w:tcBorders>
              <w:top w:val="nil"/>
              <w:left w:val="nil"/>
              <w:bottom w:val="single" w:sz="4" w:space="0" w:color="000000"/>
              <w:right w:val="single" w:sz="4" w:space="0" w:color="000000"/>
            </w:tcBorders>
            <w:hideMark/>
          </w:tcPr>
          <w:p w:rsidR="00121104" w:rsidRPr="00BA5143" w:rsidRDefault="00121104">
            <w:pPr>
              <w:rPr>
                <w:sz w:val="20"/>
                <w:szCs w:val="20"/>
                <w:lang w:val="en-US"/>
              </w:rPr>
            </w:pPr>
            <w:r w:rsidRPr="00BA5143">
              <w:rPr>
                <w:sz w:val="20"/>
                <w:szCs w:val="20"/>
                <w:lang w:val="en-US"/>
              </w:rPr>
              <w:t>Balance at the end of the day on December 31, 2017 (balance on January 1, 2018)</w:t>
            </w:r>
          </w:p>
        </w:tc>
        <w:tc>
          <w:tcPr>
            <w:tcW w:w="1134"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488</w:t>
            </w:r>
          </w:p>
        </w:tc>
        <w:tc>
          <w:tcPr>
            <w:tcW w:w="101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244 000</w:t>
            </w:r>
          </w:p>
        </w:tc>
        <w:tc>
          <w:tcPr>
            <w:tcW w:w="139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(261)</w:t>
            </w:r>
          </w:p>
        </w:tc>
        <w:tc>
          <w:tcPr>
            <w:tcW w:w="976" w:type="dxa"/>
            <w:tcBorders>
              <w:top w:val="nil"/>
              <w:left w:val="nil"/>
              <w:bottom w:val="single" w:sz="4" w:space="0" w:color="000000"/>
              <w:right w:val="single" w:sz="8" w:space="0" w:color="auto"/>
            </w:tcBorders>
            <w:vAlign w:val="center"/>
            <w:hideMark/>
          </w:tcPr>
          <w:p w:rsidR="00121104" w:rsidRPr="00BA5143" w:rsidRDefault="00121104">
            <w:pPr>
              <w:jc w:val="right"/>
              <w:rPr>
                <w:sz w:val="20"/>
                <w:szCs w:val="20"/>
                <w:lang w:val="en-US"/>
              </w:rPr>
            </w:pPr>
            <w:r w:rsidRPr="00BA5143">
              <w:rPr>
                <w:sz w:val="20"/>
                <w:szCs w:val="20"/>
                <w:lang w:val="en-US"/>
              </w:rPr>
              <w:t>243 739</w:t>
            </w:r>
          </w:p>
        </w:tc>
      </w:tr>
      <w:tr w:rsidR="00121104" w:rsidRPr="00BA5143" w:rsidTr="00121104">
        <w:trPr>
          <w:trHeight w:val="181"/>
        </w:trPr>
        <w:tc>
          <w:tcPr>
            <w:tcW w:w="769" w:type="dxa"/>
            <w:tcBorders>
              <w:top w:val="nil"/>
              <w:left w:val="single" w:sz="8" w:space="0" w:color="auto"/>
              <w:bottom w:val="single" w:sz="4" w:space="0" w:color="000000"/>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4</w:t>
            </w:r>
          </w:p>
        </w:tc>
        <w:tc>
          <w:tcPr>
            <w:tcW w:w="4208" w:type="dxa"/>
            <w:tcBorders>
              <w:top w:val="nil"/>
              <w:left w:val="nil"/>
              <w:bottom w:val="single" w:sz="4" w:space="0" w:color="000000"/>
              <w:right w:val="single" w:sz="4" w:space="0" w:color="000000"/>
            </w:tcBorders>
            <w:hideMark/>
          </w:tcPr>
          <w:p w:rsidR="00121104" w:rsidRPr="00BA5143" w:rsidRDefault="00121104">
            <w:pPr>
              <w:rPr>
                <w:sz w:val="20"/>
                <w:szCs w:val="20"/>
                <w:lang w:val="en-US"/>
              </w:rPr>
            </w:pPr>
            <w:r w:rsidRPr="00BA5143">
              <w:rPr>
                <w:sz w:val="20"/>
                <w:szCs w:val="20"/>
                <w:lang w:val="en-US"/>
              </w:rPr>
              <w:t>Contributions for shares (lots, shares) of a new issue</w:t>
            </w:r>
          </w:p>
        </w:tc>
        <w:tc>
          <w:tcPr>
            <w:tcW w:w="1134"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w:t>
            </w:r>
          </w:p>
        </w:tc>
        <w:tc>
          <w:tcPr>
            <w:tcW w:w="101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w:t>
            </w:r>
          </w:p>
        </w:tc>
        <w:tc>
          <w:tcPr>
            <w:tcW w:w="1395" w:type="dxa"/>
            <w:tcBorders>
              <w:top w:val="nil"/>
              <w:left w:val="nil"/>
              <w:bottom w:val="single" w:sz="4" w:space="0" w:color="000000"/>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w:t>
            </w:r>
          </w:p>
        </w:tc>
        <w:tc>
          <w:tcPr>
            <w:tcW w:w="976" w:type="dxa"/>
            <w:tcBorders>
              <w:top w:val="nil"/>
              <w:left w:val="nil"/>
              <w:bottom w:val="single" w:sz="4" w:space="0" w:color="000000"/>
              <w:right w:val="single" w:sz="8" w:space="0" w:color="auto"/>
            </w:tcBorders>
            <w:vAlign w:val="center"/>
            <w:hideMark/>
          </w:tcPr>
          <w:p w:rsidR="00121104" w:rsidRPr="00BA5143" w:rsidRDefault="00121104">
            <w:pPr>
              <w:jc w:val="right"/>
              <w:rPr>
                <w:sz w:val="20"/>
                <w:szCs w:val="20"/>
                <w:lang w:val="en-US"/>
              </w:rPr>
            </w:pPr>
            <w:r w:rsidRPr="00BA5143">
              <w:rPr>
                <w:sz w:val="20"/>
                <w:szCs w:val="20"/>
                <w:lang w:val="en-US"/>
              </w:rPr>
              <w:t>-</w:t>
            </w:r>
          </w:p>
        </w:tc>
      </w:tr>
      <w:tr w:rsidR="00121104" w:rsidRPr="00BA5143" w:rsidTr="00121104">
        <w:trPr>
          <w:trHeight w:val="181"/>
        </w:trPr>
        <w:tc>
          <w:tcPr>
            <w:tcW w:w="769" w:type="dxa"/>
            <w:tcBorders>
              <w:top w:val="nil"/>
              <w:left w:val="single" w:sz="8" w:space="0" w:color="auto"/>
              <w:bottom w:val="single" w:sz="8" w:space="0" w:color="auto"/>
              <w:right w:val="single" w:sz="4" w:space="0" w:color="000000"/>
            </w:tcBorders>
            <w:vAlign w:val="center"/>
            <w:hideMark/>
          </w:tcPr>
          <w:p w:rsidR="00121104" w:rsidRPr="00BA5143" w:rsidRDefault="00121104">
            <w:pPr>
              <w:jc w:val="center"/>
              <w:rPr>
                <w:sz w:val="20"/>
                <w:szCs w:val="20"/>
                <w:lang w:val="en-US"/>
              </w:rPr>
            </w:pPr>
            <w:r w:rsidRPr="00BA5143">
              <w:rPr>
                <w:sz w:val="20"/>
                <w:szCs w:val="20"/>
                <w:lang w:val="en-US"/>
              </w:rPr>
              <w:t>5</w:t>
            </w:r>
          </w:p>
        </w:tc>
        <w:tc>
          <w:tcPr>
            <w:tcW w:w="4208" w:type="dxa"/>
            <w:tcBorders>
              <w:top w:val="nil"/>
              <w:left w:val="nil"/>
              <w:bottom w:val="single" w:sz="8" w:space="0" w:color="auto"/>
              <w:right w:val="single" w:sz="4" w:space="0" w:color="000000"/>
            </w:tcBorders>
            <w:hideMark/>
          </w:tcPr>
          <w:p w:rsidR="00121104" w:rsidRPr="00BA5143" w:rsidRDefault="00121104">
            <w:pPr>
              <w:rPr>
                <w:sz w:val="20"/>
                <w:szCs w:val="20"/>
                <w:lang w:val="en-US"/>
              </w:rPr>
            </w:pPr>
            <w:r w:rsidRPr="00BA5143">
              <w:rPr>
                <w:sz w:val="20"/>
                <w:szCs w:val="20"/>
                <w:lang w:val="en-US"/>
              </w:rPr>
              <w:t>Balance at the end of the day on December 31, 2018</w:t>
            </w:r>
          </w:p>
        </w:tc>
        <w:tc>
          <w:tcPr>
            <w:tcW w:w="1134" w:type="dxa"/>
            <w:tcBorders>
              <w:top w:val="nil"/>
              <w:left w:val="nil"/>
              <w:bottom w:val="single" w:sz="8" w:space="0" w:color="auto"/>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488</w:t>
            </w:r>
          </w:p>
        </w:tc>
        <w:tc>
          <w:tcPr>
            <w:tcW w:w="1015" w:type="dxa"/>
            <w:tcBorders>
              <w:top w:val="nil"/>
              <w:left w:val="nil"/>
              <w:bottom w:val="single" w:sz="8" w:space="0" w:color="auto"/>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244 000</w:t>
            </w:r>
          </w:p>
        </w:tc>
        <w:tc>
          <w:tcPr>
            <w:tcW w:w="1395" w:type="dxa"/>
            <w:tcBorders>
              <w:top w:val="nil"/>
              <w:left w:val="nil"/>
              <w:bottom w:val="single" w:sz="8" w:space="0" w:color="auto"/>
              <w:right w:val="single" w:sz="4" w:space="0" w:color="000000"/>
            </w:tcBorders>
            <w:vAlign w:val="center"/>
            <w:hideMark/>
          </w:tcPr>
          <w:p w:rsidR="00121104" w:rsidRPr="00BA5143" w:rsidRDefault="00121104">
            <w:pPr>
              <w:jc w:val="right"/>
              <w:rPr>
                <w:sz w:val="20"/>
                <w:szCs w:val="20"/>
                <w:lang w:val="en-US"/>
              </w:rPr>
            </w:pPr>
            <w:r w:rsidRPr="00BA5143">
              <w:rPr>
                <w:sz w:val="20"/>
                <w:szCs w:val="20"/>
                <w:lang w:val="en-US"/>
              </w:rPr>
              <w:t>(261)</w:t>
            </w:r>
          </w:p>
        </w:tc>
        <w:tc>
          <w:tcPr>
            <w:tcW w:w="976" w:type="dxa"/>
            <w:tcBorders>
              <w:top w:val="nil"/>
              <w:left w:val="nil"/>
              <w:bottom w:val="single" w:sz="8" w:space="0" w:color="auto"/>
              <w:right w:val="single" w:sz="8" w:space="0" w:color="auto"/>
            </w:tcBorders>
            <w:vAlign w:val="center"/>
            <w:hideMark/>
          </w:tcPr>
          <w:p w:rsidR="00121104" w:rsidRPr="00BA5143" w:rsidRDefault="00121104">
            <w:pPr>
              <w:jc w:val="right"/>
              <w:rPr>
                <w:sz w:val="20"/>
                <w:szCs w:val="20"/>
                <w:lang w:val="en-US"/>
              </w:rPr>
            </w:pPr>
            <w:r w:rsidRPr="00BA5143">
              <w:rPr>
                <w:sz w:val="20"/>
                <w:szCs w:val="20"/>
                <w:lang w:val="en-US"/>
              </w:rPr>
              <w:t>243 739</w:t>
            </w:r>
          </w:p>
        </w:tc>
      </w:tr>
    </w:tbl>
    <w:p w:rsidR="00C1399C" w:rsidRPr="00BA5143" w:rsidRDefault="00C1399C" w:rsidP="00121104">
      <w:pPr>
        <w:spacing w:line="240" w:lineRule="exact"/>
        <w:ind w:firstLine="567"/>
        <w:rPr>
          <w:sz w:val="20"/>
          <w:szCs w:val="20"/>
          <w:lang w:val="en-US"/>
        </w:rPr>
      </w:pPr>
      <w:r w:rsidRPr="00BA5143">
        <w:rPr>
          <w:sz w:val="20"/>
          <w:szCs w:val="20"/>
          <w:lang w:val="en-US"/>
        </w:rPr>
        <w:t>The number of shares declared for issue in 2018 was 0 pcs.</w:t>
      </w:r>
    </w:p>
    <w:p w:rsidR="00C1399C" w:rsidRPr="00BA5143" w:rsidRDefault="00C1399C" w:rsidP="00C1399C">
      <w:pPr>
        <w:ind w:left="540"/>
        <w:jc w:val="both"/>
        <w:rPr>
          <w:sz w:val="20"/>
          <w:szCs w:val="20"/>
          <w:lang w:val="en-US"/>
        </w:rPr>
      </w:pPr>
      <w:r w:rsidRPr="00BA5143">
        <w:rPr>
          <w:sz w:val="20"/>
          <w:szCs w:val="20"/>
          <w:lang w:val="en-US"/>
        </w:rPr>
        <w:t>The number of shares issued and paid during 2018 is 0 ths</w:t>
      </w:r>
      <w:r w:rsidR="00201937" w:rsidRPr="00BA5143">
        <w:rPr>
          <w:sz w:val="20"/>
          <w:szCs w:val="20"/>
          <w:lang w:val="en-US"/>
        </w:rPr>
        <w:t>.</w:t>
      </w:r>
      <w:r w:rsidRPr="00BA5143">
        <w:rPr>
          <w:sz w:val="20"/>
          <w:szCs w:val="20"/>
          <w:lang w:val="en-US"/>
        </w:rPr>
        <w:t xml:space="preserve"> pcs.</w:t>
      </w:r>
    </w:p>
    <w:p w:rsidR="00C1399C" w:rsidRPr="00BA5143" w:rsidRDefault="00C1399C" w:rsidP="00C1399C">
      <w:pPr>
        <w:ind w:left="540"/>
        <w:jc w:val="both"/>
        <w:rPr>
          <w:sz w:val="20"/>
          <w:szCs w:val="20"/>
          <w:lang w:val="en-US"/>
        </w:rPr>
      </w:pPr>
      <w:r w:rsidRPr="00BA5143">
        <w:rPr>
          <w:sz w:val="20"/>
          <w:szCs w:val="20"/>
          <w:lang w:val="en-US"/>
        </w:rPr>
        <w:t>The number of shares issued and not paid during 2018 is 0 ths</w:t>
      </w:r>
      <w:r w:rsidR="00201937" w:rsidRPr="00BA5143">
        <w:rPr>
          <w:sz w:val="20"/>
          <w:szCs w:val="20"/>
          <w:lang w:val="en-US"/>
        </w:rPr>
        <w:t>.</w:t>
      </w:r>
      <w:r w:rsidRPr="00BA5143">
        <w:rPr>
          <w:sz w:val="20"/>
          <w:szCs w:val="20"/>
          <w:lang w:val="en-US"/>
        </w:rPr>
        <w:t xml:space="preserve"> pcs.</w:t>
      </w:r>
    </w:p>
    <w:p w:rsidR="00C1399C" w:rsidRPr="00BA5143" w:rsidRDefault="00C1399C" w:rsidP="00C1399C">
      <w:pPr>
        <w:ind w:left="540"/>
        <w:jc w:val="both"/>
        <w:rPr>
          <w:sz w:val="20"/>
          <w:szCs w:val="20"/>
          <w:lang w:val="en-US"/>
        </w:rPr>
      </w:pPr>
      <w:r w:rsidRPr="00BA5143">
        <w:rPr>
          <w:sz w:val="20"/>
          <w:szCs w:val="20"/>
          <w:lang w:val="en-US"/>
        </w:rPr>
        <w:t>Number of paid shares, issue of which at the reporting date is not registered by the NSSMC - 0 pcs.</w:t>
      </w:r>
    </w:p>
    <w:p w:rsidR="00C1399C" w:rsidRPr="00BA5143" w:rsidRDefault="00C1399C" w:rsidP="00C1399C">
      <w:pPr>
        <w:ind w:left="540"/>
        <w:jc w:val="both"/>
        <w:rPr>
          <w:sz w:val="20"/>
          <w:szCs w:val="20"/>
          <w:lang w:val="en-US"/>
        </w:rPr>
      </w:pPr>
      <w:r w:rsidRPr="00BA5143">
        <w:rPr>
          <w:sz w:val="20"/>
          <w:szCs w:val="20"/>
          <w:lang w:val="en-US"/>
        </w:rPr>
        <w:t>The nominal value of one ordinary share is 500 UAH.</w:t>
      </w:r>
    </w:p>
    <w:p w:rsidR="00C1399C" w:rsidRPr="00BA5143" w:rsidRDefault="00C1399C" w:rsidP="00C1399C">
      <w:pPr>
        <w:ind w:left="540"/>
        <w:jc w:val="both"/>
        <w:rPr>
          <w:sz w:val="20"/>
          <w:szCs w:val="20"/>
          <w:lang w:val="en-US"/>
        </w:rPr>
      </w:pPr>
      <w:r w:rsidRPr="00BA5143">
        <w:rPr>
          <w:sz w:val="20"/>
          <w:szCs w:val="20"/>
          <w:lang w:val="en-US"/>
        </w:rPr>
        <w:t>The Bank does not have the rights, privileges and limitations inherent in each group of equity capital, including restrictions on the payment of dividends, the return of capital.</w:t>
      </w:r>
    </w:p>
    <w:p w:rsidR="00C01BCD" w:rsidRPr="00BA5143" w:rsidRDefault="00C01BCD" w:rsidP="006012B7">
      <w:pPr>
        <w:ind w:left="540"/>
        <w:jc w:val="both"/>
        <w:rPr>
          <w:highlight w:val="yellow"/>
          <w:lang w:val="en-US"/>
        </w:rPr>
      </w:pPr>
    </w:p>
    <w:p w:rsidR="00121104" w:rsidRPr="00BA5143" w:rsidRDefault="00121104" w:rsidP="00121104">
      <w:pPr>
        <w:spacing w:line="240" w:lineRule="exact"/>
        <w:rPr>
          <w:b/>
          <w:lang w:val="en-US"/>
        </w:rPr>
      </w:pPr>
      <w:r w:rsidRPr="00BA5143">
        <w:rPr>
          <w:b/>
          <w:lang w:val="en-US"/>
        </w:rPr>
        <w:t>NOTE 16. MOVEMENT REVALUATION RESERVE (components of other comprehensive income)</w:t>
      </w:r>
    </w:p>
    <w:p w:rsidR="00F66719" w:rsidRPr="00BA5143" w:rsidRDefault="00F66719" w:rsidP="00F66719">
      <w:pPr>
        <w:spacing w:line="240" w:lineRule="exact"/>
        <w:jc w:val="right"/>
        <w:rPr>
          <w:lang w:val="en-US"/>
        </w:rPr>
      </w:pPr>
      <w:r w:rsidRPr="00BA5143">
        <w:rPr>
          <w:lang w:val="en-US"/>
        </w:rPr>
        <w:t xml:space="preserve">  (ths. UAH.)</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5599"/>
        <w:gridCol w:w="1559"/>
        <w:gridCol w:w="1418"/>
      </w:tblGrid>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Line</w:t>
            </w:r>
          </w:p>
        </w:tc>
        <w:tc>
          <w:tcPr>
            <w:tcW w:w="559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spacing w:line="200" w:lineRule="exact"/>
              <w:jc w:val="center"/>
              <w:rPr>
                <w:sz w:val="20"/>
                <w:lang w:val="en-US"/>
              </w:rPr>
            </w:pPr>
            <w:r w:rsidRPr="00BA5143">
              <w:rPr>
                <w:sz w:val="20"/>
                <w:lang w:val="en-US"/>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31.12.2018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31.12.2017</w:t>
            </w:r>
          </w:p>
        </w:tc>
      </w:tr>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1 </w:t>
            </w:r>
          </w:p>
        </w:tc>
        <w:tc>
          <w:tcPr>
            <w:tcW w:w="559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4</w:t>
            </w:r>
          </w:p>
        </w:tc>
      </w:tr>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1</w:t>
            </w:r>
          </w:p>
        </w:tc>
        <w:tc>
          <w:tcPr>
            <w:tcW w:w="5599" w:type="dxa"/>
            <w:tcBorders>
              <w:top w:val="single" w:sz="4" w:space="0" w:color="auto"/>
              <w:left w:val="single" w:sz="4" w:space="0" w:color="auto"/>
              <w:bottom w:val="single" w:sz="4" w:space="0" w:color="auto"/>
              <w:right w:val="single" w:sz="4" w:space="0" w:color="auto"/>
            </w:tcBorders>
            <w:hideMark/>
          </w:tcPr>
          <w:p w:rsidR="00F66719" w:rsidRPr="00BA5143" w:rsidRDefault="00F66719">
            <w:pPr>
              <w:rPr>
                <w:sz w:val="20"/>
                <w:lang w:val="en-US"/>
              </w:rPr>
            </w:pPr>
            <w:r w:rsidRPr="00BA5143">
              <w:rPr>
                <w:sz w:val="20"/>
                <w:lang w:val="en-US"/>
              </w:rPr>
              <w:t>Balance at the beginning of the reporting period</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r>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2</w:t>
            </w:r>
          </w:p>
        </w:tc>
        <w:tc>
          <w:tcPr>
            <w:tcW w:w="5599" w:type="dxa"/>
            <w:tcBorders>
              <w:top w:val="single" w:sz="4" w:space="0" w:color="auto"/>
              <w:left w:val="single" w:sz="4" w:space="0" w:color="auto"/>
              <w:bottom w:val="single" w:sz="4" w:space="0" w:color="auto"/>
              <w:right w:val="single" w:sz="4" w:space="0" w:color="auto"/>
            </w:tcBorders>
            <w:hideMark/>
          </w:tcPr>
          <w:p w:rsidR="00F66719" w:rsidRPr="00BA5143" w:rsidRDefault="00F66719">
            <w:pPr>
              <w:rPr>
                <w:sz w:val="20"/>
                <w:lang w:val="en-US"/>
              </w:rPr>
            </w:pPr>
            <w:r w:rsidRPr="00BA5143">
              <w:rPr>
                <w:sz w:val="20"/>
                <w:lang w:val="en-US"/>
              </w:rPr>
              <w:t>The result of the adjustment of the value of financial instruments during the initial recognition of transactions with shareholders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5 352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r>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3</w:t>
            </w:r>
          </w:p>
        </w:tc>
        <w:tc>
          <w:tcPr>
            <w:tcW w:w="5599" w:type="dxa"/>
            <w:tcBorders>
              <w:top w:val="single" w:sz="4" w:space="0" w:color="auto"/>
              <w:left w:val="single" w:sz="4" w:space="0" w:color="auto"/>
              <w:bottom w:val="single" w:sz="4" w:space="0" w:color="auto"/>
              <w:right w:val="single" w:sz="4" w:space="0" w:color="auto"/>
            </w:tcBorders>
            <w:hideMark/>
          </w:tcPr>
          <w:p w:rsidR="00F66719" w:rsidRPr="00BA5143" w:rsidRDefault="00F66719">
            <w:pPr>
              <w:rPr>
                <w:sz w:val="20"/>
                <w:lang w:val="en-US"/>
              </w:rPr>
            </w:pPr>
            <w:r w:rsidRPr="00BA5143">
              <w:rPr>
                <w:sz w:val="20"/>
                <w:lang w:val="en-US"/>
              </w:rPr>
              <w:t>Income tax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r>
      <w:tr w:rsidR="00F66719" w:rsidRPr="00BA5143" w:rsidTr="00F66719">
        <w:trPr>
          <w:trHeight w:val="255"/>
        </w:trPr>
        <w:tc>
          <w:tcPr>
            <w:tcW w:w="795"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4</w:t>
            </w:r>
          </w:p>
        </w:tc>
        <w:tc>
          <w:tcPr>
            <w:tcW w:w="5599" w:type="dxa"/>
            <w:tcBorders>
              <w:top w:val="single" w:sz="4" w:space="0" w:color="auto"/>
              <w:left w:val="single" w:sz="4" w:space="0" w:color="auto"/>
              <w:bottom w:val="single" w:sz="4" w:space="0" w:color="auto"/>
              <w:right w:val="single" w:sz="4" w:space="0" w:color="auto"/>
            </w:tcBorders>
            <w:hideMark/>
          </w:tcPr>
          <w:p w:rsidR="00F66719" w:rsidRPr="00BA5143" w:rsidRDefault="00F66719">
            <w:pPr>
              <w:rPr>
                <w:sz w:val="20"/>
                <w:lang w:val="en-US"/>
              </w:rPr>
            </w:pPr>
            <w:r w:rsidRPr="00BA5143">
              <w:rPr>
                <w:sz w:val="20"/>
                <w:lang w:val="en-US"/>
              </w:rPr>
              <w:t>Balance at the end of the period</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5 352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r>
    </w:tbl>
    <w:p w:rsidR="00315869" w:rsidRDefault="00315869" w:rsidP="00F66719">
      <w:pPr>
        <w:spacing w:line="240" w:lineRule="exact"/>
        <w:jc w:val="right"/>
        <w:rPr>
          <w:b/>
          <w:lang w:val="en-US"/>
        </w:rPr>
      </w:pPr>
    </w:p>
    <w:p w:rsidR="00D36AB2" w:rsidRDefault="00D36AB2" w:rsidP="00F66719">
      <w:pPr>
        <w:spacing w:line="240" w:lineRule="exact"/>
        <w:jc w:val="right"/>
        <w:rPr>
          <w:b/>
          <w:lang w:val="en-US"/>
        </w:rPr>
      </w:pPr>
    </w:p>
    <w:p w:rsidR="00F66719" w:rsidRPr="00BA5143" w:rsidRDefault="00F66719" w:rsidP="00F66719">
      <w:pPr>
        <w:spacing w:line="240" w:lineRule="exact"/>
        <w:jc w:val="right"/>
        <w:rPr>
          <w:lang w:val="en-US"/>
        </w:rPr>
      </w:pPr>
      <w:proofErr w:type="gramStart"/>
      <w:r w:rsidRPr="00BA5143">
        <w:rPr>
          <w:b/>
          <w:lang w:val="en-US"/>
        </w:rPr>
        <w:t>NOTE 17.</w:t>
      </w:r>
      <w:proofErr w:type="gramEnd"/>
      <w:r w:rsidRPr="00BA5143">
        <w:rPr>
          <w:b/>
          <w:lang w:val="en-US"/>
        </w:rPr>
        <w:t xml:space="preserve"> ANALYSIS OF ASSETS AND LIABILITIES BY THEIR PROCEEDINGS </w:t>
      </w:r>
      <w:r w:rsidRPr="00BA5143">
        <w:rPr>
          <w:lang w:val="en-US"/>
        </w:rPr>
        <w:t>(ths. UAH.)</w:t>
      </w:r>
    </w:p>
    <w:tbl>
      <w:tblPr>
        <w:tblW w:w="9405" w:type="dxa"/>
        <w:tblInd w:w="93" w:type="dxa"/>
        <w:tblLayout w:type="fixed"/>
        <w:tblLook w:val="04A0"/>
      </w:tblPr>
      <w:tblGrid>
        <w:gridCol w:w="555"/>
        <w:gridCol w:w="3429"/>
        <w:gridCol w:w="900"/>
        <w:gridCol w:w="801"/>
        <w:gridCol w:w="27"/>
        <w:gridCol w:w="993"/>
        <w:gridCol w:w="900"/>
        <w:gridCol w:w="900"/>
        <w:gridCol w:w="900"/>
      </w:tblGrid>
      <w:tr w:rsidR="00F66719" w:rsidRPr="00BA5143" w:rsidTr="00F66719">
        <w:trPr>
          <w:trHeight w:val="255"/>
        </w:trPr>
        <w:tc>
          <w:tcPr>
            <w:tcW w:w="555" w:type="dxa"/>
            <w:vMerge w:val="restart"/>
            <w:tcBorders>
              <w:top w:val="single" w:sz="8" w:space="0" w:color="auto"/>
              <w:left w:val="single" w:sz="8" w:space="0" w:color="auto"/>
              <w:bottom w:val="single" w:sz="4" w:space="0" w:color="auto"/>
              <w:right w:val="single" w:sz="4" w:space="0" w:color="auto"/>
            </w:tcBorders>
            <w:vAlign w:val="center"/>
            <w:hideMark/>
          </w:tcPr>
          <w:p w:rsidR="00F66719" w:rsidRPr="00BA5143" w:rsidRDefault="00F66719" w:rsidP="00F66719">
            <w:pPr>
              <w:ind w:left="-69"/>
              <w:jc w:val="center"/>
              <w:rPr>
                <w:sz w:val="20"/>
                <w:szCs w:val="20"/>
                <w:lang w:val="en-US"/>
              </w:rPr>
            </w:pPr>
            <w:r w:rsidRPr="00BA5143">
              <w:rPr>
                <w:sz w:val="20"/>
                <w:szCs w:val="20"/>
                <w:lang w:val="en-US"/>
              </w:rPr>
              <w:t>Line</w:t>
            </w:r>
          </w:p>
        </w:tc>
        <w:tc>
          <w:tcPr>
            <w:tcW w:w="3429" w:type="dxa"/>
            <w:vMerge w:val="restart"/>
            <w:tcBorders>
              <w:top w:val="single" w:sz="8" w:space="0" w:color="auto"/>
              <w:left w:val="single" w:sz="4" w:space="0" w:color="auto"/>
              <w:bottom w:val="single" w:sz="4" w:space="0" w:color="auto"/>
              <w:right w:val="single" w:sz="4" w:space="0" w:color="auto"/>
            </w:tcBorders>
            <w:vAlign w:val="center"/>
            <w:hideMark/>
          </w:tcPr>
          <w:p w:rsidR="00F66719" w:rsidRPr="00BA5143" w:rsidRDefault="00F66719">
            <w:pPr>
              <w:spacing w:line="200" w:lineRule="exact"/>
              <w:jc w:val="center"/>
              <w:rPr>
                <w:sz w:val="20"/>
                <w:lang w:val="en-US"/>
              </w:rPr>
            </w:pPr>
            <w:r w:rsidRPr="00BA5143">
              <w:rPr>
                <w:sz w:val="20"/>
                <w:lang w:val="en-US"/>
              </w:rPr>
              <w:t>Item</w:t>
            </w:r>
          </w:p>
        </w:tc>
        <w:tc>
          <w:tcPr>
            <w:tcW w:w="2721" w:type="dxa"/>
            <w:gridSpan w:val="4"/>
            <w:tcBorders>
              <w:top w:val="single" w:sz="8" w:space="0" w:color="auto"/>
              <w:left w:val="nil"/>
              <w:bottom w:val="single" w:sz="4" w:space="0" w:color="auto"/>
              <w:right w:val="single" w:sz="4" w:space="0" w:color="auto"/>
            </w:tcBorders>
            <w:vAlign w:val="center"/>
          </w:tcPr>
          <w:p w:rsidR="00F66719" w:rsidRPr="00BA5143" w:rsidRDefault="00F66719">
            <w:pPr>
              <w:jc w:val="center"/>
              <w:rPr>
                <w:sz w:val="18"/>
                <w:szCs w:val="20"/>
                <w:lang w:val="en-US"/>
              </w:rPr>
            </w:pPr>
          </w:p>
          <w:p w:rsidR="00F66719" w:rsidRPr="00BA5143" w:rsidRDefault="00F66719">
            <w:pPr>
              <w:jc w:val="center"/>
              <w:rPr>
                <w:sz w:val="18"/>
                <w:szCs w:val="20"/>
                <w:lang w:val="en-US"/>
              </w:rPr>
            </w:pPr>
            <w:r w:rsidRPr="00BA5143">
              <w:rPr>
                <w:sz w:val="18"/>
                <w:szCs w:val="20"/>
                <w:lang w:val="en-US"/>
              </w:rPr>
              <w:t>31.12.2018</w:t>
            </w:r>
          </w:p>
        </w:tc>
        <w:tc>
          <w:tcPr>
            <w:tcW w:w="2700" w:type="dxa"/>
            <w:gridSpan w:val="3"/>
            <w:tcBorders>
              <w:top w:val="single" w:sz="8" w:space="0" w:color="auto"/>
              <w:left w:val="nil"/>
              <w:bottom w:val="single" w:sz="4" w:space="0" w:color="auto"/>
              <w:right w:val="single" w:sz="4" w:space="0" w:color="auto"/>
            </w:tcBorders>
            <w:vAlign w:val="center"/>
          </w:tcPr>
          <w:p w:rsidR="00F66719" w:rsidRPr="00BA5143" w:rsidRDefault="00F66719">
            <w:pPr>
              <w:jc w:val="center"/>
              <w:rPr>
                <w:sz w:val="20"/>
                <w:szCs w:val="20"/>
                <w:lang w:val="en-US"/>
              </w:rPr>
            </w:pPr>
          </w:p>
          <w:p w:rsidR="00F66719" w:rsidRPr="00BA5143" w:rsidRDefault="00F66719">
            <w:pPr>
              <w:jc w:val="center"/>
              <w:rPr>
                <w:sz w:val="20"/>
                <w:szCs w:val="20"/>
                <w:lang w:val="en-US"/>
              </w:rPr>
            </w:pPr>
            <w:r w:rsidRPr="00BA5143">
              <w:rPr>
                <w:sz w:val="20"/>
                <w:szCs w:val="20"/>
                <w:lang w:val="en-US"/>
              </w:rPr>
              <w:t>31.12.2017</w:t>
            </w:r>
          </w:p>
          <w:p w:rsidR="00F66719" w:rsidRPr="00BA5143" w:rsidRDefault="00F66719">
            <w:pPr>
              <w:jc w:val="center"/>
              <w:rPr>
                <w:sz w:val="20"/>
                <w:szCs w:val="20"/>
                <w:lang w:val="en-US"/>
              </w:rPr>
            </w:pPr>
          </w:p>
        </w:tc>
      </w:tr>
      <w:tr w:rsidR="00F66719" w:rsidRPr="00BA5143" w:rsidTr="00F66719">
        <w:trPr>
          <w:trHeight w:val="450"/>
        </w:trPr>
        <w:tc>
          <w:tcPr>
            <w:tcW w:w="9405" w:type="dxa"/>
            <w:vMerge/>
            <w:tcBorders>
              <w:top w:val="single" w:sz="8" w:space="0" w:color="auto"/>
              <w:left w:val="single" w:sz="8" w:space="0" w:color="auto"/>
              <w:bottom w:val="single" w:sz="4" w:space="0" w:color="auto"/>
              <w:right w:val="single" w:sz="4" w:space="0" w:color="auto"/>
            </w:tcBorders>
            <w:vAlign w:val="center"/>
            <w:hideMark/>
          </w:tcPr>
          <w:p w:rsidR="00F66719" w:rsidRPr="00BA5143" w:rsidRDefault="00F66719">
            <w:pPr>
              <w:rPr>
                <w:sz w:val="20"/>
                <w:szCs w:val="20"/>
                <w:lang w:val="en-US"/>
              </w:rPr>
            </w:pPr>
          </w:p>
        </w:tc>
        <w:tc>
          <w:tcPr>
            <w:tcW w:w="3429" w:type="dxa"/>
            <w:vMerge/>
            <w:tcBorders>
              <w:top w:val="single" w:sz="8" w:space="0" w:color="auto"/>
              <w:left w:val="single" w:sz="4" w:space="0" w:color="auto"/>
              <w:bottom w:val="single" w:sz="4" w:space="0" w:color="auto"/>
              <w:right w:val="single" w:sz="4" w:space="0" w:color="auto"/>
            </w:tcBorders>
            <w:vAlign w:val="center"/>
            <w:hideMark/>
          </w:tcPr>
          <w:p w:rsidR="00F66719" w:rsidRPr="00BA5143" w:rsidRDefault="00F66719">
            <w:pPr>
              <w:rPr>
                <w:sz w:val="20"/>
                <w:lang w:val="en-US"/>
              </w:rPr>
            </w:pP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16"/>
                <w:szCs w:val="16"/>
                <w:lang w:val="en-US"/>
              </w:rPr>
            </w:pPr>
            <w:r w:rsidRPr="00BA5143">
              <w:rPr>
                <w:sz w:val="16"/>
                <w:szCs w:val="16"/>
                <w:lang w:val="en-US"/>
              </w:rPr>
              <w:t>less than 12 months</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center"/>
              <w:rPr>
                <w:sz w:val="18"/>
                <w:szCs w:val="16"/>
                <w:lang w:val="en-US"/>
              </w:rPr>
            </w:pPr>
            <w:r w:rsidRPr="00BA5143">
              <w:rPr>
                <w:sz w:val="18"/>
                <w:szCs w:val="16"/>
                <w:lang w:val="en-US"/>
              </w:rPr>
              <w:t>more than 12 months</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center"/>
              <w:rPr>
                <w:sz w:val="18"/>
                <w:szCs w:val="16"/>
                <w:lang w:val="en-US"/>
              </w:rPr>
            </w:pPr>
            <w:r w:rsidRPr="00BA5143">
              <w:rPr>
                <w:sz w:val="18"/>
                <w:szCs w:val="16"/>
                <w:lang w:val="en-US"/>
              </w:rPr>
              <w:t>total</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16"/>
                <w:szCs w:val="16"/>
                <w:lang w:val="en-US"/>
              </w:rPr>
            </w:pPr>
            <w:r w:rsidRPr="00BA5143">
              <w:rPr>
                <w:sz w:val="16"/>
                <w:szCs w:val="16"/>
                <w:lang w:val="en-US"/>
              </w:rPr>
              <w:t>less than 12 months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16"/>
                <w:szCs w:val="16"/>
                <w:lang w:val="en-US"/>
              </w:rPr>
            </w:pPr>
            <w:r w:rsidRPr="00BA5143">
              <w:rPr>
                <w:sz w:val="16"/>
                <w:szCs w:val="16"/>
                <w:lang w:val="en-US"/>
              </w:rPr>
              <w:t>more than 12 months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16"/>
                <w:szCs w:val="16"/>
                <w:lang w:val="en-US"/>
              </w:rPr>
            </w:pPr>
            <w:r w:rsidRPr="00BA5143">
              <w:rPr>
                <w:sz w:val="16"/>
                <w:szCs w:val="16"/>
                <w:lang w:val="en-US"/>
              </w:rPr>
              <w:t>total</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1 </w:t>
            </w:r>
          </w:p>
        </w:tc>
        <w:tc>
          <w:tcPr>
            <w:tcW w:w="3429" w:type="dxa"/>
            <w:tcBorders>
              <w:top w:val="nil"/>
              <w:left w:val="nil"/>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2 </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3</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center"/>
              <w:rPr>
                <w:sz w:val="18"/>
                <w:szCs w:val="20"/>
                <w:lang w:val="en-US"/>
              </w:rPr>
            </w:pPr>
            <w:r w:rsidRPr="00BA5143">
              <w:rPr>
                <w:sz w:val="18"/>
                <w:szCs w:val="20"/>
                <w:lang w:val="en-US"/>
              </w:rPr>
              <w:t>4</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center"/>
              <w:rPr>
                <w:sz w:val="18"/>
                <w:szCs w:val="20"/>
                <w:lang w:val="en-US"/>
              </w:rPr>
            </w:pPr>
            <w:r w:rsidRPr="00BA5143">
              <w:rPr>
                <w:sz w:val="18"/>
                <w:szCs w:val="20"/>
                <w:lang w:val="en-US"/>
              </w:rPr>
              <w:t>5</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6</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7</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8</w:t>
            </w:r>
          </w:p>
        </w:tc>
      </w:tr>
      <w:tr w:rsidR="00F66719" w:rsidRPr="00BA5143" w:rsidTr="00F66719">
        <w:trPr>
          <w:trHeight w:val="255"/>
        </w:trPr>
        <w:tc>
          <w:tcPr>
            <w:tcW w:w="9405" w:type="dxa"/>
            <w:gridSpan w:val="9"/>
            <w:tcBorders>
              <w:top w:val="nil"/>
              <w:left w:val="single" w:sz="8" w:space="0" w:color="auto"/>
              <w:bottom w:val="single" w:sz="4" w:space="0" w:color="auto"/>
              <w:right w:val="single" w:sz="4" w:space="0" w:color="auto"/>
            </w:tcBorders>
            <w:vAlign w:val="center"/>
            <w:hideMark/>
          </w:tcPr>
          <w:p w:rsidR="00F66719" w:rsidRPr="00BA5143" w:rsidRDefault="00F66719">
            <w:pPr>
              <w:rPr>
                <w:sz w:val="20"/>
                <w:lang w:val="en-US"/>
              </w:rPr>
            </w:pPr>
            <w:r w:rsidRPr="00BA5143">
              <w:rPr>
                <w:sz w:val="20"/>
                <w:lang w:val="en-US"/>
              </w:rPr>
              <w:t xml:space="preserve">            ASSETS</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1</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Cash and cash equivalents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3 289</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3 289</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3 417</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3 417</w:t>
            </w:r>
          </w:p>
        </w:tc>
      </w:tr>
      <w:tr w:rsidR="00F66719" w:rsidRPr="00BA5143" w:rsidTr="00F66719">
        <w:trPr>
          <w:trHeight w:val="241"/>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2</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Investments in securities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169 043</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169 043</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149 720</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149 720</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3</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Investment Property</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27 761</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27 761</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27 808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27 808</w:t>
            </w:r>
          </w:p>
        </w:tc>
      </w:tr>
      <w:tr w:rsidR="00F66719" w:rsidRPr="00BA5143" w:rsidTr="00F66719">
        <w:trPr>
          <w:trHeight w:val="510"/>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4</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Accounts receivable under current tax on profit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248</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248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248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248</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5</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Fixed assets and intangible assets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28 638</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28 638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28 695</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28 695</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6</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Other assets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2 804</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2 804</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893</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893</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7</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Total assets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175 384</w:t>
            </w:r>
          </w:p>
        </w:tc>
        <w:tc>
          <w:tcPr>
            <w:tcW w:w="828"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56 399</w:t>
            </w:r>
          </w:p>
        </w:tc>
        <w:tc>
          <w:tcPr>
            <w:tcW w:w="993"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 xml:space="preserve">231 783 </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154 278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56 503</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210 781</w:t>
            </w:r>
          </w:p>
        </w:tc>
      </w:tr>
      <w:tr w:rsidR="00F66719" w:rsidRPr="00BA5143" w:rsidTr="00F66719">
        <w:trPr>
          <w:trHeight w:val="255"/>
        </w:trPr>
        <w:tc>
          <w:tcPr>
            <w:tcW w:w="9405" w:type="dxa"/>
            <w:gridSpan w:val="9"/>
            <w:tcBorders>
              <w:top w:val="nil"/>
              <w:left w:val="single" w:sz="8" w:space="0" w:color="auto"/>
              <w:bottom w:val="single" w:sz="4" w:space="0" w:color="auto"/>
              <w:right w:val="single" w:sz="4" w:space="0" w:color="auto"/>
            </w:tcBorders>
            <w:vAlign w:val="center"/>
            <w:hideMark/>
          </w:tcPr>
          <w:p w:rsidR="00F66719" w:rsidRPr="00BA5143" w:rsidRDefault="00F66719">
            <w:pPr>
              <w:rPr>
                <w:sz w:val="20"/>
                <w:szCs w:val="20"/>
                <w:lang w:val="en-US"/>
              </w:rPr>
            </w:pPr>
            <w:r w:rsidRPr="00BA5143">
              <w:rPr>
                <w:sz w:val="20"/>
                <w:szCs w:val="20"/>
                <w:lang w:val="en-US"/>
              </w:rPr>
              <w:t xml:space="preserve">           LIABILITIES</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8</w:t>
            </w:r>
          </w:p>
        </w:tc>
        <w:tc>
          <w:tcPr>
            <w:tcW w:w="3429" w:type="dxa"/>
            <w:tcBorders>
              <w:top w:val="nil"/>
              <w:left w:val="nil"/>
              <w:bottom w:val="single" w:sz="4" w:space="0" w:color="auto"/>
              <w:right w:val="single" w:sz="4" w:space="0" w:color="auto"/>
            </w:tcBorders>
            <w:hideMark/>
          </w:tcPr>
          <w:p w:rsidR="00F66719" w:rsidRPr="00BA5143" w:rsidRDefault="00201937">
            <w:pPr>
              <w:rPr>
                <w:sz w:val="20"/>
                <w:lang w:val="en-US"/>
              </w:rPr>
            </w:pPr>
            <w:r w:rsidRPr="00BA5143">
              <w:rPr>
                <w:sz w:val="20"/>
                <w:lang w:val="en-US"/>
              </w:rPr>
              <w:t>Clients’</w:t>
            </w:r>
            <w:r w:rsidR="00F66719" w:rsidRPr="00BA5143">
              <w:rPr>
                <w:sz w:val="20"/>
                <w:lang w:val="en-US"/>
              </w:rPr>
              <w:t xml:space="preserve"> money</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617</w:t>
            </w:r>
          </w:p>
        </w:tc>
        <w:tc>
          <w:tcPr>
            <w:tcW w:w="801"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1020"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617</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2 544</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2 544</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9</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Provisions for liabilities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801"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1020"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111</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111</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10</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Other liabilities</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347</w:t>
            </w:r>
          </w:p>
        </w:tc>
        <w:tc>
          <w:tcPr>
            <w:tcW w:w="801"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1020"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347</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268</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268</w:t>
            </w:r>
          </w:p>
        </w:tc>
      </w:tr>
      <w:tr w:rsidR="00F66719" w:rsidRPr="00BA5143" w:rsidTr="00F66719">
        <w:trPr>
          <w:trHeight w:val="255"/>
        </w:trPr>
        <w:tc>
          <w:tcPr>
            <w:tcW w:w="555" w:type="dxa"/>
            <w:tcBorders>
              <w:top w:val="nil"/>
              <w:left w:val="single" w:sz="8" w:space="0" w:color="auto"/>
              <w:bottom w:val="single" w:sz="4" w:space="0" w:color="auto"/>
              <w:right w:val="single" w:sz="4" w:space="0" w:color="auto"/>
            </w:tcBorders>
            <w:vAlign w:val="bottom"/>
            <w:hideMark/>
          </w:tcPr>
          <w:p w:rsidR="00F66719" w:rsidRPr="00BA5143" w:rsidRDefault="00F66719">
            <w:pPr>
              <w:jc w:val="center"/>
              <w:rPr>
                <w:sz w:val="20"/>
                <w:szCs w:val="20"/>
                <w:lang w:val="en-US"/>
              </w:rPr>
            </w:pPr>
            <w:r w:rsidRPr="00BA5143">
              <w:rPr>
                <w:sz w:val="20"/>
                <w:szCs w:val="20"/>
                <w:lang w:val="en-US"/>
              </w:rPr>
              <w:t>11</w:t>
            </w:r>
          </w:p>
        </w:tc>
        <w:tc>
          <w:tcPr>
            <w:tcW w:w="3429" w:type="dxa"/>
            <w:tcBorders>
              <w:top w:val="nil"/>
              <w:left w:val="nil"/>
              <w:bottom w:val="single" w:sz="4" w:space="0" w:color="auto"/>
              <w:right w:val="single" w:sz="4" w:space="0" w:color="auto"/>
            </w:tcBorders>
            <w:hideMark/>
          </w:tcPr>
          <w:p w:rsidR="00F66719" w:rsidRPr="00BA5143" w:rsidRDefault="00F66719">
            <w:pPr>
              <w:rPr>
                <w:sz w:val="20"/>
                <w:lang w:val="en-US"/>
              </w:rPr>
            </w:pPr>
            <w:r w:rsidRPr="00BA5143">
              <w:rPr>
                <w:sz w:val="20"/>
                <w:lang w:val="en-US"/>
              </w:rPr>
              <w:t>Subordinated debt</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163</w:t>
            </w:r>
          </w:p>
        </w:tc>
        <w:tc>
          <w:tcPr>
            <w:tcW w:w="801"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32 591</w:t>
            </w:r>
          </w:p>
        </w:tc>
        <w:tc>
          <w:tcPr>
            <w:tcW w:w="1020" w:type="dxa"/>
            <w:gridSpan w:val="2"/>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32 754</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163</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23 133</w:t>
            </w:r>
          </w:p>
        </w:tc>
        <w:tc>
          <w:tcPr>
            <w:tcW w:w="900" w:type="dxa"/>
            <w:tcBorders>
              <w:top w:val="nil"/>
              <w:left w:val="nil"/>
              <w:bottom w:val="single" w:sz="4"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23 296</w:t>
            </w:r>
          </w:p>
        </w:tc>
      </w:tr>
      <w:tr w:rsidR="00F66719" w:rsidRPr="00BA5143" w:rsidTr="00F66719">
        <w:trPr>
          <w:trHeight w:val="270"/>
        </w:trPr>
        <w:tc>
          <w:tcPr>
            <w:tcW w:w="555" w:type="dxa"/>
            <w:tcBorders>
              <w:top w:val="nil"/>
              <w:left w:val="single" w:sz="8" w:space="0" w:color="auto"/>
              <w:bottom w:val="single" w:sz="8" w:space="0" w:color="auto"/>
              <w:right w:val="single" w:sz="4" w:space="0" w:color="auto"/>
            </w:tcBorders>
            <w:vAlign w:val="center"/>
            <w:hideMark/>
          </w:tcPr>
          <w:p w:rsidR="00F66719" w:rsidRPr="00BA5143" w:rsidRDefault="00F66719">
            <w:pPr>
              <w:jc w:val="center"/>
              <w:rPr>
                <w:sz w:val="20"/>
                <w:szCs w:val="20"/>
                <w:lang w:val="en-US"/>
              </w:rPr>
            </w:pPr>
            <w:r w:rsidRPr="00BA5143">
              <w:rPr>
                <w:sz w:val="20"/>
                <w:szCs w:val="20"/>
                <w:lang w:val="en-US"/>
              </w:rPr>
              <w:t>12</w:t>
            </w:r>
          </w:p>
        </w:tc>
        <w:tc>
          <w:tcPr>
            <w:tcW w:w="3429" w:type="dxa"/>
            <w:tcBorders>
              <w:top w:val="nil"/>
              <w:left w:val="nil"/>
              <w:bottom w:val="single" w:sz="8" w:space="0" w:color="auto"/>
              <w:right w:val="single" w:sz="4" w:space="0" w:color="auto"/>
            </w:tcBorders>
            <w:hideMark/>
          </w:tcPr>
          <w:p w:rsidR="00F66719" w:rsidRPr="00BA5143" w:rsidRDefault="00F66719">
            <w:pPr>
              <w:rPr>
                <w:sz w:val="20"/>
                <w:lang w:val="en-US"/>
              </w:rPr>
            </w:pPr>
            <w:r w:rsidRPr="00BA5143">
              <w:rPr>
                <w:sz w:val="20"/>
                <w:lang w:val="en-US"/>
              </w:rPr>
              <w:t>Total liabilities</w:t>
            </w:r>
          </w:p>
        </w:tc>
        <w:tc>
          <w:tcPr>
            <w:tcW w:w="900" w:type="dxa"/>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1 127</w:t>
            </w:r>
          </w:p>
        </w:tc>
        <w:tc>
          <w:tcPr>
            <w:tcW w:w="801" w:type="dxa"/>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32 591</w:t>
            </w:r>
          </w:p>
        </w:tc>
        <w:tc>
          <w:tcPr>
            <w:tcW w:w="1020" w:type="dxa"/>
            <w:gridSpan w:val="2"/>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33 718</w:t>
            </w:r>
          </w:p>
        </w:tc>
        <w:tc>
          <w:tcPr>
            <w:tcW w:w="900" w:type="dxa"/>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3 086</w:t>
            </w:r>
          </w:p>
        </w:tc>
        <w:tc>
          <w:tcPr>
            <w:tcW w:w="900" w:type="dxa"/>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23 133</w:t>
            </w:r>
          </w:p>
        </w:tc>
        <w:tc>
          <w:tcPr>
            <w:tcW w:w="900" w:type="dxa"/>
            <w:tcBorders>
              <w:top w:val="nil"/>
              <w:left w:val="nil"/>
              <w:bottom w:val="single" w:sz="8" w:space="0" w:color="auto"/>
              <w:right w:val="single" w:sz="4" w:space="0" w:color="auto"/>
            </w:tcBorders>
            <w:vAlign w:val="center"/>
            <w:hideMark/>
          </w:tcPr>
          <w:p w:rsidR="00F66719" w:rsidRPr="00BA5143" w:rsidRDefault="00F66719">
            <w:pPr>
              <w:jc w:val="right"/>
              <w:rPr>
                <w:sz w:val="20"/>
                <w:szCs w:val="20"/>
                <w:lang w:val="en-US"/>
              </w:rPr>
            </w:pPr>
            <w:r w:rsidRPr="00BA5143">
              <w:rPr>
                <w:sz w:val="20"/>
                <w:szCs w:val="20"/>
                <w:lang w:val="en-US"/>
              </w:rPr>
              <w:t>26 219</w:t>
            </w:r>
          </w:p>
        </w:tc>
      </w:tr>
    </w:tbl>
    <w:p w:rsidR="00B03E39" w:rsidRPr="00BA5143" w:rsidRDefault="00B03E39" w:rsidP="00F66719">
      <w:pPr>
        <w:spacing w:line="240" w:lineRule="exact"/>
        <w:jc w:val="right"/>
        <w:rPr>
          <w:highlight w:val="yellow"/>
          <w:lang w:val="en-US"/>
        </w:rPr>
      </w:pPr>
    </w:p>
    <w:p w:rsidR="00F66719" w:rsidRPr="00BA5143" w:rsidRDefault="00F66719" w:rsidP="00F66719">
      <w:pPr>
        <w:spacing w:line="240" w:lineRule="exact"/>
        <w:rPr>
          <w:b/>
          <w:lang w:val="en-US"/>
        </w:rPr>
      </w:pPr>
      <w:r w:rsidRPr="00BA5143">
        <w:rPr>
          <w:b/>
          <w:lang w:val="en-US"/>
        </w:rPr>
        <w:t xml:space="preserve">NOTE 18. INTEREST INCOME AND EXPENSES </w:t>
      </w:r>
    </w:p>
    <w:p w:rsidR="00DD1158" w:rsidRPr="00BA5143" w:rsidRDefault="00DD1158" w:rsidP="00DD1158">
      <w:pPr>
        <w:spacing w:line="240" w:lineRule="exact"/>
        <w:jc w:val="right"/>
        <w:rPr>
          <w:lang w:val="en-US"/>
        </w:rPr>
      </w:pPr>
      <w:r w:rsidRPr="00BA5143">
        <w:rPr>
          <w:lang w:val="en-US"/>
        </w:rPr>
        <w:t>(ths. UAH.)</w:t>
      </w:r>
    </w:p>
    <w:tbl>
      <w:tblPr>
        <w:tblW w:w="9478" w:type="dxa"/>
        <w:tblInd w:w="93" w:type="dxa"/>
        <w:tblLook w:val="04A0"/>
      </w:tblPr>
      <w:tblGrid>
        <w:gridCol w:w="800"/>
        <w:gridCol w:w="5878"/>
        <w:gridCol w:w="1420"/>
        <w:gridCol w:w="1380"/>
      </w:tblGrid>
      <w:tr w:rsidR="00DD1158" w:rsidRPr="00BA5143" w:rsidTr="00DD1158">
        <w:trPr>
          <w:trHeight w:val="255"/>
        </w:trPr>
        <w:tc>
          <w:tcPr>
            <w:tcW w:w="800" w:type="dxa"/>
            <w:tcBorders>
              <w:top w:val="single" w:sz="8" w:space="0" w:color="auto"/>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Line </w:t>
            </w:r>
          </w:p>
        </w:tc>
        <w:tc>
          <w:tcPr>
            <w:tcW w:w="5878" w:type="dxa"/>
            <w:tcBorders>
              <w:top w:val="single" w:sz="8" w:space="0" w:color="auto"/>
              <w:left w:val="nil"/>
              <w:bottom w:val="single" w:sz="4" w:space="0" w:color="000000"/>
              <w:right w:val="single" w:sz="4" w:space="0" w:color="000000"/>
            </w:tcBorders>
            <w:vAlign w:val="center"/>
            <w:hideMark/>
          </w:tcPr>
          <w:p w:rsidR="00DD1158" w:rsidRPr="00BA5143" w:rsidRDefault="00DD1158">
            <w:pPr>
              <w:spacing w:line="200" w:lineRule="exact"/>
              <w:jc w:val="center"/>
              <w:rPr>
                <w:sz w:val="20"/>
                <w:lang w:val="en-US"/>
              </w:rPr>
            </w:pPr>
            <w:r w:rsidRPr="00BA5143">
              <w:rPr>
                <w:sz w:val="20"/>
                <w:lang w:val="en-US"/>
              </w:rPr>
              <w:t>Item</w:t>
            </w:r>
          </w:p>
        </w:tc>
        <w:tc>
          <w:tcPr>
            <w:tcW w:w="1420" w:type="dxa"/>
            <w:tcBorders>
              <w:top w:val="single" w:sz="8" w:space="0" w:color="auto"/>
              <w:left w:val="nil"/>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2018</w:t>
            </w:r>
          </w:p>
        </w:tc>
        <w:tc>
          <w:tcPr>
            <w:tcW w:w="1380" w:type="dxa"/>
            <w:tcBorders>
              <w:top w:val="single" w:sz="8" w:space="0" w:color="auto"/>
              <w:left w:val="nil"/>
              <w:bottom w:val="single" w:sz="4" w:space="0" w:color="000000"/>
              <w:right w:val="single" w:sz="8" w:space="0" w:color="auto"/>
            </w:tcBorders>
            <w:vAlign w:val="bottom"/>
            <w:hideMark/>
          </w:tcPr>
          <w:p w:rsidR="00DD1158" w:rsidRPr="00BA5143" w:rsidRDefault="00DD1158">
            <w:pPr>
              <w:jc w:val="center"/>
              <w:rPr>
                <w:sz w:val="20"/>
                <w:szCs w:val="20"/>
                <w:lang w:val="en-US"/>
              </w:rPr>
            </w:pPr>
            <w:r w:rsidRPr="00BA5143">
              <w:rPr>
                <w:sz w:val="20"/>
                <w:szCs w:val="20"/>
                <w:lang w:val="en-US"/>
              </w:rPr>
              <w:t>2017</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1 </w:t>
            </w:r>
          </w:p>
        </w:tc>
        <w:tc>
          <w:tcPr>
            <w:tcW w:w="5878" w:type="dxa"/>
            <w:tcBorders>
              <w:top w:val="nil"/>
              <w:left w:val="nil"/>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2 </w:t>
            </w:r>
          </w:p>
        </w:tc>
        <w:tc>
          <w:tcPr>
            <w:tcW w:w="1420" w:type="dxa"/>
            <w:tcBorders>
              <w:top w:val="nil"/>
              <w:left w:val="nil"/>
              <w:bottom w:val="single" w:sz="4" w:space="0" w:color="auto"/>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3 </w:t>
            </w:r>
          </w:p>
        </w:tc>
        <w:tc>
          <w:tcPr>
            <w:tcW w:w="1380" w:type="dxa"/>
            <w:tcBorders>
              <w:top w:val="nil"/>
              <w:left w:val="nil"/>
              <w:bottom w:val="single" w:sz="4" w:space="0" w:color="auto"/>
              <w:right w:val="single" w:sz="8" w:space="0" w:color="auto"/>
            </w:tcBorders>
            <w:vAlign w:val="bottom"/>
            <w:hideMark/>
          </w:tcPr>
          <w:p w:rsidR="00DD1158" w:rsidRPr="00BA5143" w:rsidRDefault="00DD1158">
            <w:pPr>
              <w:jc w:val="center"/>
              <w:rPr>
                <w:sz w:val="20"/>
                <w:szCs w:val="20"/>
                <w:lang w:val="en-US"/>
              </w:rPr>
            </w:pPr>
            <w:r w:rsidRPr="00BA5143">
              <w:rPr>
                <w:sz w:val="20"/>
                <w:szCs w:val="20"/>
                <w:lang w:val="en-US"/>
              </w:rPr>
              <w:t>4 </w:t>
            </w:r>
          </w:p>
        </w:tc>
      </w:tr>
      <w:tr w:rsidR="00DD1158" w:rsidRPr="006C58AD" w:rsidTr="00DD1158">
        <w:trPr>
          <w:trHeight w:val="255"/>
        </w:trPr>
        <w:tc>
          <w:tcPr>
            <w:tcW w:w="9478" w:type="dxa"/>
            <w:gridSpan w:val="4"/>
            <w:tcBorders>
              <w:top w:val="nil"/>
              <w:left w:val="single" w:sz="8" w:space="0" w:color="auto"/>
              <w:bottom w:val="single" w:sz="4" w:space="0" w:color="000000"/>
              <w:right w:val="single" w:sz="4" w:space="0" w:color="auto"/>
            </w:tcBorders>
            <w:hideMark/>
          </w:tcPr>
          <w:p w:rsidR="00DD1158" w:rsidRPr="00BA5143" w:rsidRDefault="00DD1158">
            <w:pPr>
              <w:rPr>
                <w:b/>
                <w:bCs/>
                <w:sz w:val="20"/>
                <w:lang w:val="en-US"/>
              </w:rPr>
            </w:pPr>
            <w:r w:rsidRPr="00BA5143">
              <w:rPr>
                <w:b/>
                <w:bCs/>
                <w:sz w:val="20"/>
                <w:lang w:val="en-US"/>
              </w:rPr>
              <w:t>Interest income, calculated on the effective interest rate</w:t>
            </w:r>
          </w:p>
        </w:tc>
      </w:tr>
      <w:tr w:rsidR="00DD1158" w:rsidRPr="006C58AD" w:rsidTr="00DD1158">
        <w:trPr>
          <w:trHeight w:val="255"/>
        </w:trPr>
        <w:tc>
          <w:tcPr>
            <w:tcW w:w="9478" w:type="dxa"/>
            <w:gridSpan w:val="4"/>
            <w:tcBorders>
              <w:top w:val="nil"/>
              <w:left w:val="single" w:sz="8" w:space="0" w:color="auto"/>
              <w:bottom w:val="single" w:sz="4" w:space="0" w:color="000000"/>
              <w:right w:val="single" w:sz="4" w:space="0" w:color="auto"/>
            </w:tcBorders>
            <w:hideMark/>
          </w:tcPr>
          <w:p w:rsidR="00DD1158" w:rsidRPr="00BA5143" w:rsidRDefault="00DD1158">
            <w:pPr>
              <w:rPr>
                <w:sz w:val="20"/>
                <w:lang w:val="en-US"/>
              </w:rPr>
            </w:pPr>
            <w:r w:rsidRPr="00BA5143">
              <w:rPr>
                <w:sz w:val="20"/>
                <w:lang w:val="en-US"/>
              </w:rPr>
              <w:t>Interest income on assets recorded at amortized cost</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1 </w:t>
            </w:r>
          </w:p>
        </w:tc>
        <w:tc>
          <w:tcPr>
            <w:tcW w:w="5878" w:type="dxa"/>
            <w:tcBorders>
              <w:top w:val="nil"/>
              <w:left w:val="nil"/>
              <w:bottom w:val="single" w:sz="4" w:space="0" w:color="000000"/>
              <w:right w:val="nil"/>
            </w:tcBorders>
            <w:hideMark/>
          </w:tcPr>
          <w:p w:rsidR="00DD1158" w:rsidRPr="00BA5143" w:rsidRDefault="00DD1158">
            <w:pPr>
              <w:rPr>
                <w:sz w:val="20"/>
                <w:lang w:val="en-US"/>
              </w:rPr>
            </w:pPr>
            <w:r w:rsidRPr="00BA5143">
              <w:rPr>
                <w:sz w:val="20"/>
                <w:lang w:val="en-US"/>
              </w:rPr>
              <w:t>Debt securities</w:t>
            </w:r>
          </w:p>
        </w:tc>
        <w:tc>
          <w:tcPr>
            <w:tcW w:w="1420" w:type="dxa"/>
            <w:tcBorders>
              <w:top w:val="nil"/>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27 302</w:t>
            </w:r>
          </w:p>
        </w:tc>
        <w:tc>
          <w:tcPr>
            <w:tcW w:w="1380" w:type="dxa"/>
            <w:tcBorders>
              <w:top w:val="single" w:sz="4" w:space="0" w:color="auto"/>
              <w:left w:val="nil"/>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9 895</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2 </w:t>
            </w:r>
          </w:p>
        </w:tc>
        <w:tc>
          <w:tcPr>
            <w:tcW w:w="5878" w:type="dxa"/>
            <w:tcBorders>
              <w:top w:val="nil"/>
              <w:left w:val="nil"/>
              <w:bottom w:val="single" w:sz="4" w:space="0" w:color="000000"/>
              <w:right w:val="nil"/>
            </w:tcBorders>
            <w:hideMark/>
          </w:tcPr>
          <w:p w:rsidR="00DD1158" w:rsidRPr="00BA5143" w:rsidRDefault="00DD1158">
            <w:pPr>
              <w:rPr>
                <w:sz w:val="20"/>
                <w:lang w:val="en-US"/>
              </w:rPr>
            </w:pPr>
            <w:r w:rsidRPr="00BA5143">
              <w:rPr>
                <w:sz w:val="20"/>
                <w:lang w:val="en-US"/>
              </w:rPr>
              <w:t>Correspondent accounts in other banks</w:t>
            </w:r>
          </w:p>
        </w:tc>
        <w:tc>
          <w:tcPr>
            <w:tcW w:w="1420" w:type="dxa"/>
            <w:tcBorders>
              <w:top w:val="nil"/>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w:t>
            </w:r>
          </w:p>
        </w:tc>
        <w:tc>
          <w:tcPr>
            <w:tcW w:w="1380" w:type="dxa"/>
            <w:tcBorders>
              <w:top w:val="nil"/>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44</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3</w:t>
            </w:r>
          </w:p>
        </w:tc>
        <w:tc>
          <w:tcPr>
            <w:tcW w:w="5878" w:type="dxa"/>
            <w:tcBorders>
              <w:top w:val="nil"/>
              <w:left w:val="nil"/>
              <w:bottom w:val="single" w:sz="4" w:space="0" w:color="000000"/>
              <w:right w:val="nil"/>
            </w:tcBorders>
            <w:hideMark/>
          </w:tcPr>
          <w:p w:rsidR="00DD1158" w:rsidRPr="00BA5143" w:rsidRDefault="00DD1158">
            <w:pPr>
              <w:rPr>
                <w:sz w:val="20"/>
                <w:lang w:val="en-US"/>
              </w:rPr>
            </w:pPr>
            <w:r w:rsidRPr="00BA5143">
              <w:rPr>
                <w:sz w:val="20"/>
                <w:lang w:val="en-US"/>
              </w:rPr>
              <w:t>Total interest income on assets recorded at amortized cost</w:t>
            </w:r>
          </w:p>
        </w:tc>
        <w:tc>
          <w:tcPr>
            <w:tcW w:w="1420" w:type="dxa"/>
            <w:tcBorders>
              <w:top w:val="nil"/>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27 302</w:t>
            </w:r>
          </w:p>
        </w:tc>
        <w:tc>
          <w:tcPr>
            <w:tcW w:w="1380" w:type="dxa"/>
            <w:tcBorders>
              <w:top w:val="nil"/>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9 939</w:t>
            </w:r>
          </w:p>
        </w:tc>
      </w:tr>
      <w:tr w:rsidR="00DD1158" w:rsidRPr="006C58AD" w:rsidTr="00DD1158">
        <w:trPr>
          <w:trHeight w:val="255"/>
        </w:trPr>
        <w:tc>
          <w:tcPr>
            <w:tcW w:w="9478" w:type="dxa"/>
            <w:gridSpan w:val="4"/>
            <w:tcBorders>
              <w:top w:val="nil"/>
              <w:left w:val="single" w:sz="8" w:space="0" w:color="auto"/>
              <w:bottom w:val="single" w:sz="4" w:space="0" w:color="000000"/>
              <w:right w:val="single" w:sz="8" w:space="0" w:color="000000"/>
            </w:tcBorders>
            <w:hideMark/>
          </w:tcPr>
          <w:p w:rsidR="00DD1158" w:rsidRPr="00BA5143" w:rsidRDefault="00DD1158">
            <w:pPr>
              <w:rPr>
                <w:b/>
                <w:bCs/>
                <w:sz w:val="20"/>
                <w:lang w:val="en-US"/>
              </w:rPr>
            </w:pPr>
            <w:r w:rsidRPr="00BA5143">
              <w:rPr>
                <w:b/>
                <w:bCs/>
                <w:sz w:val="20"/>
                <w:lang w:val="en-US"/>
              </w:rPr>
              <w:t>Interest expense calculated at the effective interest rate</w:t>
            </w:r>
          </w:p>
        </w:tc>
      </w:tr>
      <w:tr w:rsidR="00DD1158" w:rsidRPr="006C58AD" w:rsidTr="00DD1158">
        <w:trPr>
          <w:trHeight w:val="255"/>
        </w:trPr>
        <w:tc>
          <w:tcPr>
            <w:tcW w:w="9478" w:type="dxa"/>
            <w:gridSpan w:val="4"/>
            <w:tcBorders>
              <w:top w:val="nil"/>
              <w:left w:val="single" w:sz="8" w:space="0" w:color="auto"/>
              <w:bottom w:val="single" w:sz="4" w:space="0" w:color="000000"/>
              <w:right w:val="single" w:sz="8" w:space="0" w:color="auto"/>
            </w:tcBorders>
            <w:hideMark/>
          </w:tcPr>
          <w:p w:rsidR="00DD1158" w:rsidRPr="00BA5143" w:rsidRDefault="00DD1158">
            <w:pPr>
              <w:rPr>
                <w:sz w:val="20"/>
                <w:lang w:val="en-US"/>
              </w:rPr>
            </w:pPr>
            <w:r w:rsidRPr="00BA5143">
              <w:rPr>
                <w:sz w:val="20"/>
                <w:lang w:val="en-US"/>
              </w:rPr>
              <w:t>Interest expense on financial liabilities recorded at amortized cost</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4</w:t>
            </w:r>
          </w:p>
        </w:tc>
        <w:tc>
          <w:tcPr>
            <w:tcW w:w="5878" w:type="dxa"/>
            <w:tcBorders>
              <w:top w:val="nil"/>
              <w:left w:val="nil"/>
              <w:bottom w:val="single" w:sz="4" w:space="0" w:color="000000"/>
              <w:right w:val="nil"/>
            </w:tcBorders>
            <w:hideMark/>
          </w:tcPr>
          <w:p w:rsidR="00DD1158" w:rsidRPr="00BA5143" w:rsidRDefault="00DD1158">
            <w:pPr>
              <w:rPr>
                <w:sz w:val="20"/>
                <w:lang w:val="en-US"/>
              </w:rPr>
            </w:pPr>
            <w:r w:rsidRPr="00BA5143">
              <w:rPr>
                <w:sz w:val="20"/>
                <w:lang w:val="en-US"/>
              </w:rPr>
              <w:t>Other funds raised</w:t>
            </w:r>
          </w:p>
        </w:tc>
        <w:tc>
          <w:tcPr>
            <w:tcW w:w="1420" w:type="dxa"/>
            <w:tcBorders>
              <w:top w:val="nil"/>
              <w:left w:val="single" w:sz="4" w:space="0" w:color="000000"/>
              <w:bottom w:val="single" w:sz="4" w:space="0" w:color="auto"/>
              <w:right w:val="single" w:sz="4" w:space="0" w:color="auto"/>
            </w:tcBorders>
            <w:vAlign w:val="bottom"/>
            <w:hideMark/>
          </w:tcPr>
          <w:p w:rsidR="00DD1158" w:rsidRPr="00BA5143" w:rsidRDefault="00DD1158">
            <w:pPr>
              <w:jc w:val="right"/>
              <w:rPr>
                <w:sz w:val="20"/>
                <w:szCs w:val="20"/>
                <w:lang w:val="en-US"/>
              </w:rPr>
            </w:pPr>
            <w:r w:rsidRPr="00BA5143">
              <w:rPr>
                <w:sz w:val="20"/>
                <w:szCs w:val="20"/>
                <w:lang w:val="en-US"/>
              </w:rPr>
              <w:t>(4 830)</w:t>
            </w:r>
          </w:p>
        </w:tc>
        <w:tc>
          <w:tcPr>
            <w:tcW w:w="1380" w:type="dxa"/>
            <w:tcBorders>
              <w:top w:val="nil"/>
              <w:left w:val="single" w:sz="4" w:space="0" w:color="000000"/>
              <w:bottom w:val="single" w:sz="4" w:space="0" w:color="auto"/>
              <w:right w:val="single" w:sz="8" w:space="0" w:color="auto"/>
            </w:tcBorders>
            <w:vAlign w:val="bottom"/>
            <w:hideMark/>
          </w:tcPr>
          <w:p w:rsidR="00DD1158" w:rsidRPr="00BA5143" w:rsidRDefault="00DD1158">
            <w:pPr>
              <w:jc w:val="right"/>
              <w:rPr>
                <w:sz w:val="20"/>
                <w:szCs w:val="20"/>
                <w:lang w:val="en-US"/>
              </w:rPr>
            </w:pPr>
            <w:r w:rsidRPr="00BA5143">
              <w:rPr>
                <w:sz w:val="20"/>
                <w:szCs w:val="20"/>
                <w:lang w:val="en-US"/>
              </w:rPr>
              <w:t>(7 037)</w:t>
            </w:r>
          </w:p>
        </w:tc>
      </w:tr>
      <w:tr w:rsidR="00DD1158" w:rsidRPr="00BA5143" w:rsidTr="00DD1158">
        <w:trPr>
          <w:trHeight w:val="255"/>
        </w:trPr>
        <w:tc>
          <w:tcPr>
            <w:tcW w:w="800" w:type="dxa"/>
            <w:tcBorders>
              <w:top w:val="nil"/>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5</w:t>
            </w:r>
          </w:p>
        </w:tc>
        <w:tc>
          <w:tcPr>
            <w:tcW w:w="5878" w:type="dxa"/>
            <w:tcBorders>
              <w:top w:val="nil"/>
              <w:left w:val="nil"/>
              <w:bottom w:val="single" w:sz="4" w:space="0" w:color="000000"/>
              <w:right w:val="nil"/>
            </w:tcBorders>
            <w:hideMark/>
          </w:tcPr>
          <w:p w:rsidR="00DD1158" w:rsidRPr="00BA5143" w:rsidRDefault="00DD1158">
            <w:pPr>
              <w:rPr>
                <w:sz w:val="20"/>
                <w:lang w:val="en-US"/>
              </w:rPr>
            </w:pPr>
            <w:r w:rsidRPr="00BA5143">
              <w:rPr>
                <w:sz w:val="20"/>
                <w:lang w:val="en-US"/>
              </w:rPr>
              <w:t>Total interest expense on financial liabilities recorded at amortized cost</w:t>
            </w:r>
          </w:p>
        </w:tc>
        <w:tc>
          <w:tcPr>
            <w:tcW w:w="1420" w:type="dxa"/>
            <w:tcBorders>
              <w:top w:val="nil"/>
              <w:left w:val="single" w:sz="4" w:space="0" w:color="000000"/>
              <w:bottom w:val="single" w:sz="4" w:space="0" w:color="auto"/>
              <w:right w:val="single" w:sz="4" w:space="0" w:color="auto"/>
            </w:tcBorders>
            <w:vAlign w:val="bottom"/>
            <w:hideMark/>
          </w:tcPr>
          <w:p w:rsidR="00DD1158" w:rsidRPr="00BA5143" w:rsidRDefault="00DD1158">
            <w:pPr>
              <w:jc w:val="right"/>
              <w:rPr>
                <w:sz w:val="20"/>
                <w:szCs w:val="20"/>
                <w:lang w:val="en-US"/>
              </w:rPr>
            </w:pPr>
            <w:r w:rsidRPr="00BA5143">
              <w:rPr>
                <w:sz w:val="20"/>
                <w:szCs w:val="20"/>
                <w:lang w:val="en-US"/>
              </w:rPr>
              <w:t>(4 830)</w:t>
            </w:r>
          </w:p>
        </w:tc>
        <w:tc>
          <w:tcPr>
            <w:tcW w:w="1380" w:type="dxa"/>
            <w:tcBorders>
              <w:top w:val="nil"/>
              <w:left w:val="single" w:sz="4" w:space="0" w:color="000000"/>
              <w:bottom w:val="single" w:sz="4" w:space="0" w:color="auto"/>
              <w:right w:val="single" w:sz="8" w:space="0" w:color="auto"/>
            </w:tcBorders>
            <w:vAlign w:val="bottom"/>
            <w:hideMark/>
          </w:tcPr>
          <w:p w:rsidR="00DD1158" w:rsidRPr="00BA5143" w:rsidRDefault="00DD1158">
            <w:pPr>
              <w:jc w:val="right"/>
              <w:rPr>
                <w:sz w:val="20"/>
                <w:szCs w:val="20"/>
                <w:lang w:val="en-US"/>
              </w:rPr>
            </w:pPr>
            <w:r w:rsidRPr="00BA5143">
              <w:rPr>
                <w:sz w:val="20"/>
                <w:szCs w:val="20"/>
                <w:lang w:val="en-US"/>
              </w:rPr>
              <w:t>(7 037)</w:t>
            </w:r>
          </w:p>
        </w:tc>
      </w:tr>
      <w:tr w:rsidR="00DD1158" w:rsidRPr="00BA5143" w:rsidTr="00DD1158">
        <w:trPr>
          <w:trHeight w:val="270"/>
        </w:trPr>
        <w:tc>
          <w:tcPr>
            <w:tcW w:w="800" w:type="dxa"/>
            <w:tcBorders>
              <w:top w:val="nil"/>
              <w:left w:val="single" w:sz="8" w:space="0" w:color="auto"/>
              <w:bottom w:val="single" w:sz="8" w:space="0" w:color="auto"/>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6</w:t>
            </w:r>
          </w:p>
        </w:tc>
        <w:tc>
          <w:tcPr>
            <w:tcW w:w="5878" w:type="dxa"/>
            <w:tcBorders>
              <w:top w:val="nil"/>
              <w:left w:val="nil"/>
              <w:bottom w:val="single" w:sz="8" w:space="0" w:color="auto"/>
              <w:right w:val="nil"/>
            </w:tcBorders>
            <w:hideMark/>
          </w:tcPr>
          <w:p w:rsidR="00DD1158" w:rsidRPr="00BA5143" w:rsidRDefault="00DD1158">
            <w:pPr>
              <w:rPr>
                <w:sz w:val="20"/>
                <w:lang w:val="en-US"/>
              </w:rPr>
            </w:pPr>
            <w:r w:rsidRPr="00BA5143">
              <w:rPr>
                <w:sz w:val="20"/>
                <w:lang w:val="en-US"/>
              </w:rPr>
              <w:t>Net interest income / (expenses)</w:t>
            </w:r>
          </w:p>
        </w:tc>
        <w:tc>
          <w:tcPr>
            <w:tcW w:w="1420" w:type="dxa"/>
            <w:tcBorders>
              <w:top w:val="nil"/>
              <w:left w:val="single" w:sz="4" w:space="0" w:color="auto"/>
              <w:bottom w:val="single" w:sz="8"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22 472</w:t>
            </w:r>
          </w:p>
        </w:tc>
        <w:tc>
          <w:tcPr>
            <w:tcW w:w="1380" w:type="dxa"/>
            <w:tcBorders>
              <w:top w:val="nil"/>
              <w:left w:val="nil"/>
              <w:bottom w:val="single" w:sz="8"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2 909</w:t>
            </w:r>
          </w:p>
        </w:tc>
      </w:tr>
    </w:tbl>
    <w:p w:rsidR="0097343A" w:rsidRPr="00BA5143" w:rsidRDefault="00DD1158" w:rsidP="0097343A">
      <w:pPr>
        <w:spacing w:before="240" w:line="240" w:lineRule="exact"/>
        <w:jc w:val="both"/>
        <w:rPr>
          <w:b/>
          <w:lang w:val="en-US"/>
        </w:rPr>
      </w:pPr>
      <w:r w:rsidRPr="00BA5143">
        <w:rPr>
          <w:b/>
          <w:lang w:val="en-US"/>
        </w:rPr>
        <w:t xml:space="preserve"> NOTE 19. COMMISSIONS INCOME AND EXPENSE</w:t>
      </w:r>
    </w:p>
    <w:p w:rsidR="00DD1158" w:rsidRPr="00BA5143" w:rsidRDefault="00DD1158" w:rsidP="00DD1158">
      <w:pPr>
        <w:spacing w:line="240" w:lineRule="exact"/>
        <w:jc w:val="right"/>
        <w:rPr>
          <w:lang w:val="en-US"/>
        </w:rPr>
      </w:pPr>
      <w:r w:rsidRPr="00BA5143">
        <w:rPr>
          <w:lang w:val="en-US"/>
        </w:rPr>
        <w:t>(ths. UAH.)</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5718"/>
        <w:gridCol w:w="1440"/>
        <w:gridCol w:w="1260"/>
      </w:tblGrid>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Line </w:t>
            </w:r>
          </w:p>
        </w:tc>
        <w:tc>
          <w:tcPr>
            <w:tcW w:w="5718"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spacing w:line="200" w:lineRule="exact"/>
              <w:jc w:val="center"/>
              <w:rPr>
                <w:sz w:val="20"/>
                <w:lang w:val="en-US"/>
              </w:rPr>
            </w:pPr>
            <w:r w:rsidRPr="00BA5143">
              <w:rPr>
                <w:sz w:val="20"/>
                <w:lang w:val="en-U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2018</w:t>
            </w:r>
          </w:p>
        </w:tc>
        <w:tc>
          <w:tcPr>
            <w:tcW w:w="126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2017</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1 </w:t>
            </w:r>
          </w:p>
        </w:tc>
        <w:tc>
          <w:tcPr>
            <w:tcW w:w="5718"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2 </w:t>
            </w:r>
          </w:p>
        </w:tc>
        <w:tc>
          <w:tcPr>
            <w:tcW w:w="144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3 </w:t>
            </w:r>
          </w:p>
        </w:tc>
        <w:tc>
          <w:tcPr>
            <w:tcW w:w="126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jc w:val="center"/>
              <w:rPr>
                <w:sz w:val="20"/>
                <w:szCs w:val="20"/>
                <w:lang w:val="en-US"/>
              </w:rPr>
            </w:pPr>
            <w:r w:rsidRPr="00BA5143">
              <w:rPr>
                <w:sz w:val="20"/>
                <w:szCs w:val="20"/>
                <w:lang w:val="en-US"/>
              </w:rPr>
              <w:t>4 </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rPr>
                <w:sz w:val="20"/>
                <w:szCs w:val="20"/>
                <w:lang w:val="en-US"/>
              </w:rPr>
            </w:pPr>
            <w:r w:rsidRPr="00BA5143">
              <w:rPr>
                <w:sz w:val="20"/>
                <w:szCs w:val="20"/>
                <w:lang w:val="en-US"/>
              </w:rPr>
              <w:t>  </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b/>
                <w:bCs/>
                <w:sz w:val="20"/>
                <w:lang w:val="en-US"/>
              </w:rPr>
            </w:pPr>
            <w:r w:rsidRPr="00BA5143">
              <w:rPr>
                <w:b/>
                <w:bCs/>
                <w:sz w:val="20"/>
                <w:lang w:val="en-US"/>
              </w:rPr>
              <w:t>Commission income</w:t>
            </w:r>
          </w:p>
        </w:tc>
        <w:tc>
          <w:tcPr>
            <w:tcW w:w="2700" w:type="dxa"/>
            <w:gridSpan w:val="2"/>
            <w:tcBorders>
              <w:top w:val="single" w:sz="4" w:space="0" w:color="auto"/>
              <w:left w:val="single" w:sz="4" w:space="0" w:color="auto"/>
              <w:bottom w:val="single" w:sz="4" w:space="0" w:color="auto"/>
              <w:right w:val="single" w:sz="4" w:space="0" w:color="auto"/>
            </w:tcBorders>
            <w:vAlign w:val="bottom"/>
            <w:hideMark/>
          </w:tcPr>
          <w:p w:rsidR="00DD1158" w:rsidRPr="00BA5143" w:rsidRDefault="00DD1158">
            <w:pPr>
              <w:rPr>
                <w:sz w:val="20"/>
                <w:szCs w:val="20"/>
                <w:lang w:val="en-US"/>
              </w:rPr>
            </w:pPr>
            <w:r w:rsidRPr="00BA5143">
              <w:rPr>
                <w:sz w:val="20"/>
                <w:szCs w:val="20"/>
                <w:lang w:val="en-US"/>
              </w:rPr>
              <w:t>  </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1 </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Settlement and cash transactions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142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81</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2</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Others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127</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3</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Total commission income</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142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208</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  </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b/>
                <w:bCs/>
                <w:sz w:val="20"/>
                <w:lang w:val="en-US"/>
              </w:rPr>
            </w:pPr>
            <w:r w:rsidRPr="00BA5143">
              <w:rPr>
                <w:b/>
                <w:bCs/>
                <w:sz w:val="20"/>
                <w:lang w:val="en-US"/>
              </w:rPr>
              <w:t>Commission expense</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  </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4</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Settlement and cash transactions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 xml:space="preserve"> (66)</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 xml:space="preserve"> (23)</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5</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Others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(7)</w:t>
            </w:r>
          </w:p>
        </w:tc>
      </w:tr>
      <w:tr w:rsidR="00DD1158" w:rsidRPr="00BA5143" w:rsidTr="00DD1158">
        <w:trPr>
          <w:trHeight w:val="255"/>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6</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sz w:val="20"/>
                <w:lang w:val="en-US"/>
              </w:rPr>
              <w:t>Total commission expense</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(30)</w:t>
            </w:r>
          </w:p>
        </w:tc>
      </w:tr>
      <w:tr w:rsidR="00DD1158" w:rsidRPr="00BA5143" w:rsidTr="00DD1158">
        <w:trPr>
          <w:trHeight w:val="270"/>
        </w:trPr>
        <w:tc>
          <w:tcPr>
            <w:tcW w:w="9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7</w:t>
            </w:r>
          </w:p>
        </w:tc>
        <w:tc>
          <w:tcPr>
            <w:tcW w:w="5718" w:type="dxa"/>
            <w:tcBorders>
              <w:top w:val="single" w:sz="4" w:space="0" w:color="auto"/>
              <w:left w:val="single" w:sz="4" w:space="0" w:color="auto"/>
              <w:bottom w:val="single" w:sz="4" w:space="0" w:color="auto"/>
              <w:right w:val="single" w:sz="4" w:space="0" w:color="auto"/>
            </w:tcBorders>
            <w:hideMark/>
          </w:tcPr>
          <w:p w:rsidR="00DD1158" w:rsidRPr="00BA5143" w:rsidRDefault="00DD1158">
            <w:pPr>
              <w:rPr>
                <w:sz w:val="20"/>
                <w:lang w:val="en-US"/>
              </w:rPr>
            </w:pPr>
            <w:r w:rsidRPr="00BA5143">
              <w:rPr>
                <w:b/>
                <w:bCs/>
                <w:sz w:val="20"/>
                <w:lang w:val="en-US"/>
              </w:rPr>
              <w:t>Net commission income / expenses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81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178</w:t>
            </w:r>
          </w:p>
        </w:tc>
      </w:tr>
    </w:tbl>
    <w:p w:rsidR="00471F7D" w:rsidRPr="00BA5143" w:rsidRDefault="00471F7D" w:rsidP="003D30B0">
      <w:pPr>
        <w:tabs>
          <w:tab w:val="left" w:pos="709"/>
        </w:tabs>
        <w:spacing w:line="240" w:lineRule="exact"/>
        <w:ind w:firstLine="567"/>
        <w:jc w:val="both"/>
        <w:rPr>
          <w:b/>
          <w:highlight w:val="yellow"/>
          <w:lang w:val="en-US"/>
        </w:rPr>
      </w:pPr>
    </w:p>
    <w:p w:rsidR="00315869" w:rsidRDefault="00315869" w:rsidP="003D30B0">
      <w:pPr>
        <w:tabs>
          <w:tab w:val="left" w:pos="709"/>
        </w:tabs>
        <w:spacing w:line="240" w:lineRule="exact"/>
        <w:ind w:firstLine="567"/>
        <w:jc w:val="both"/>
        <w:rPr>
          <w:b/>
          <w:lang w:val="en-US"/>
        </w:rPr>
      </w:pPr>
    </w:p>
    <w:p w:rsidR="00705845" w:rsidRPr="00BA5143" w:rsidRDefault="00DD1158" w:rsidP="003D30B0">
      <w:pPr>
        <w:tabs>
          <w:tab w:val="left" w:pos="709"/>
        </w:tabs>
        <w:spacing w:line="240" w:lineRule="exact"/>
        <w:ind w:firstLine="567"/>
        <w:jc w:val="both"/>
        <w:rPr>
          <w:b/>
          <w:lang w:val="en-US"/>
        </w:rPr>
      </w:pPr>
      <w:r w:rsidRPr="00BA5143">
        <w:rPr>
          <w:b/>
          <w:lang w:val="en-US"/>
        </w:rPr>
        <w:t>NOTE</w:t>
      </w:r>
      <w:r w:rsidR="00705845" w:rsidRPr="00BA5143">
        <w:rPr>
          <w:b/>
          <w:lang w:val="en-US"/>
        </w:rPr>
        <w:t xml:space="preserve"> </w:t>
      </w:r>
      <w:r w:rsidR="00084CFE" w:rsidRPr="00BA5143">
        <w:rPr>
          <w:b/>
          <w:lang w:val="en-US"/>
        </w:rPr>
        <w:t>2</w:t>
      </w:r>
      <w:r w:rsidR="00E20091" w:rsidRPr="00BA5143">
        <w:rPr>
          <w:b/>
          <w:lang w:val="en-US"/>
        </w:rPr>
        <w:t>0</w:t>
      </w:r>
      <w:r w:rsidR="00705845" w:rsidRPr="00BA5143">
        <w:rPr>
          <w:b/>
          <w:lang w:val="en-US"/>
        </w:rPr>
        <w:t xml:space="preserve">. </w:t>
      </w:r>
      <w:r w:rsidRPr="00BA5143">
        <w:rPr>
          <w:b/>
          <w:lang w:val="en-US"/>
        </w:rPr>
        <w:t>OTHER OPERATING INCOME</w:t>
      </w:r>
      <w:r w:rsidR="00705845" w:rsidRPr="00BA5143">
        <w:rPr>
          <w:b/>
          <w:lang w:val="en-US"/>
        </w:rPr>
        <w:t xml:space="preserve"> </w:t>
      </w:r>
    </w:p>
    <w:p w:rsidR="00DD1158" w:rsidRPr="00BA5143" w:rsidRDefault="00DD1158" w:rsidP="00DD1158">
      <w:pPr>
        <w:tabs>
          <w:tab w:val="left" w:pos="709"/>
        </w:tabs>
        <w:spacing w:line="240" w:lineRule="exact"/>
        <w:ind w:firstLine="567"/>
        <w:jc w:val="right"/>
        <w:rPr>
          <w:lang w:val="en-US"/>
        </w:rPr>
      </w:pPr>
      <w:r w:rsidRPr="00BA5143">
        <w:rPr>
          <w:lang w:val="en-US"/>
        </w:rPr>
        <w:t>(ths. UAH.)</w:t>
      </w:r>
    </w:p>
    <w:tbl>
      <w:tblPr>
        <w:tblW w:w="9375" w:type="dxa"/>
        <w:tblInd w:w="93" w:type="dxa"/>
        <w:tblLayout w:type="fixed"/>
        <w:tblLook w:val="04A0"/>
      </w:tblPr>
      <w:tblGrid>
        <w:gridCol w:w="876"/>
        <w:gridCol w:w="5804"/>
        <w:gridCol w:w="1418"/>
        <w:gridCol w:w="1277"/>
      </w:tblGrid>
      <w:tr w:rsidR="00DD1158" w:rsidRPr="00BA5143" w:rsidTr="00DD1158">
        <w:trPr>
          <w:trHeight w:val="255"/>
        </w:trPr>
        <w:tc>
          <w:tcPr>
            <w:tcW w:w="876" w:type="dxa"/>
            <w:tcBorders>
              <w:top w:val="single" w:sz="8" w:space="0" w:color="auto"/>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Line </w:t>
            </w:r>
          </w:p>
        </w:tc>
        <w:tc>
          <w:tcPr>
            <w:tcW w:w="5802" w:type="dxa"/>
            <w:tcBorders>
              <w:top w:val="single" w:sz="8" w:space="0" w:color="auto"/>
              <w:left w:val="nil"/>
              <w:bottom w:val="single" w:sz="4" w:space="0" w:color="000000"/>
              <w:right w:val="single" w:sz="4" w:space="0" w:color="000000"/>
            </w:tcBorders>
            <w:vAlign w:val="center"/>
            <w:hideMark/>
          </w:tcPr>
          <w:p w:rsidR="00DD1158" w:rsidRPr="00BA5143" w:rsidRDefault="00DD1158">
            <w:pPr>
              <w:spacing w:line="200" w:lineRule="exact"/>
              <w:jc w:val="center"/>
              <w:rPr>
                <w:sz w:val="20"/>
                <w:lang w:val="en-US"/>
              </w:rPr>
            </w:pPr>
            <w:r w:rsidRPr="00BA5143">
              <w:rPr>
                <w:sz w:val="20"/>
                <w:lang w:val="en-US"/>
              </w:rPr>
              <w:t>Item</w:t>
            </w:r>
          </w:p>
        </w:tc>
        <w:tc>
          <w:tcPr>
            <w:tcW w:w="1417" w:type="dxa"/>
            <w:tcBorders>
              <w:top w:val="single" w:sz="8" w:space="0" w:color="auto"/>
              <w:left w:val="nil"/>
              <w:bottom w:val="single" w:sz="4" w:space="0" w:color="auto"/>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2018</w:t>
            </w:r>
          </w:p>
        </w:tc>
        <w:tc>
          <w:tcPr>
            <w:tcW w:w="1276" w:type="dxa"/>
            <w:tcBorders>
              <w:top w:val="single" w:sz="8" w:space="0" w:color="auto"/>
              <w:left w:val="nil"/>
              <w:bottom w:val="single" w:sz="4" w:space="0" w:color="auto"/>
              <w:right w:val="single" w:sz="8" w:space="0" w:color="auto"/>
            </w:tcBorders>
            <w:vAlign w:val="center"/>
            <w:hideMark/>
          </w:tcPr>
          <w:p w:rsidR="00DD1158" w:rsidRPr="00BA5143" w:rsidRDefault="00DD1158">
            <w:pPr>
              <w:jc w:val="center"/>
              <w:rPr>
                <w:sz w:val="20"/>
                <w:szCs w:val="20"/>
                <w:lang w:val="en-US"/>
              </w:rPr>
            </w:pPr>
            <w:r w:rsidRPr="00BA5143">
              <w:rPr>
                <w:sz w:val="20"/>
                <w:szCs w:val="20"/>
                <w:lang w:val="en-US"/>
              </w:rPr>
              <w:t>2017</w:t>
            </w:r>
          </w:p>
        </w:tc>
      </w:tr>
      <w:tr w:rsidR="00DD1158" w:rsidRPr="00BA5143" w:rsidTr="00DD1158">
        <w:trPr>
          <w:trHeight w:val="255"/>
        </w:trPr>
        <w:tc>
          <w:tcPr>
            <w:tcW w:w="876"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1 </w:t>
            </w:r>
          </w:p>
        </w:tc>
        <w:tc>
          <w:tcPr>
            <w:tcW w:w="5802" w:type="dxa"/>
            <w:tcBorders>
              <w:top w:val="nil"/>
              <w:left w:val="nil"/>
              <w:bottom w:val="single" w:sz="4" w:space="0" w:color="000000"/>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2 </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center"/>
              <w:rPr>
                <w:sz w:val="20"/>
                <w:szCs w:val="20"/>
                <w:lang w:val="en-US"/>
              </w:rPr>
            </w:pPr>
            <w:r w:rsidRPr="00BA5143">
              <w:rPr>
                <w:sz w:val="20"/>
                <w:szCs w:val="20"/>
                <w:lang w:val="en-US"/>
              </w:rPr>
              <w:t>4 </w:t>
            </w:r>
          </w:p>
        </w:tc>
      </w:tr>
      <w:tr w:rsidR="00DD1158" w:rsidRPr="00BA5143" w:rsidTr="00DD1158">
        <w:trPr>
          <w:trHeight w:val="255"/>
        </w:trPr>
        <w:tc>
          <w:tcPr>
            <w:tcW w:w="876"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1</w:t>
            </w:r>
          </w:p>
        </w:tc>
        <w:tc>
          <w:tcPr>
            <w:tcW w:w="5802" w:type="dxa"/>
            <w:tcBorders>
              <w:top w:val="nil"/>
              <w:left w:val="nil"/>
              <w:bottom w:val="single" w:sz="4" w:space="0" w:color="000000"/>
              <w:right w:val="single" w:sz="4" w:space="0" w:color="auto"/>
            </w:tcBorders>
            <w:hideMark/>
          </w:tcPr>
          <w:p w:rsidR="00DD1158" w:rsidRPr="00BA5143" w:rsidRDefault="00DD1158">
            <w:pPr>
              <w:rPr>
                <w:sz w:val="20"/>
                <w:lang w:val="en-US"/>
              </w:rPr>
            </w:pPr>
            <w:r w:rsidRPr="00BA5143">
              <w:rPr>
                <w:sz w:val="20"/>
                <w:lang w:val="en-US"/>
              </w:rPr>
              <w:t xml:space="preserve">Operating lease income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w:t>
            </w:r>
          </w:p>
        </w:tc>
        <w:tc>
          <w:tcPr>
            <w:tcW w:w="1276" w:type="dxa"/>
            <w:tcBorders>
              <w:top w:val="single" w:sz="4" w:space="0" w:color="auto"/>
              <w:left w:val="nil"/>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w:t>
            </w:r>
          </w:p>
        </w:tc>
      </w:tr>
      <w:tr w:rsidR="00DD1158" w:rsidRPr="00BA5143" w:rsidTr="00DD1158">
        <w:trPr>
          <w:trHeight w:val="255"/>
        </w:trPr>
        <w:tc>
          <w:tcPr>
            <w:tcW w:w="876"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lastRenderedPageBreak/>
              <w:t>2</w:t>
            </w:r>
          </w:p>
        </w:tc>
        <w:tc>
          <w:tcPr>
            <w:tcW w:w="5802" w:type="dxa"/>
            <w:tcBorders>
              <w:top w:val="nil"/>
              <w:left w:val="nil"/>
              <w:bottom w:val="single" w:sz="4" w:space="0" w:color="000000"/>
              <w:right w:val="single" w:sz="4" w:space="0" w:color="000000"/>
            </w:tcBorders>
            <w:hideMark/>
          </w:tcPr>
          <w:p w:rsidR="00DD1158" w:rsidRPr="00BA5143" w:rsidRDefault="00DD1158">
            <w:pPr>
              <w:rPr>
                <w:sz w:val="20"/>
                <w:lang w:val="en-US"/>
              </w:rPr>
            </w:pPr>
            <w:r w:rsidRPr="00BA5143">
              <w:rPr>
                <w:sz w:val="20"/>
                <w:lang w:val="en-US"/>
              </w:rPr>
              <w:t>Other operating income</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w:t>
            </w:r>
          </w:p>
        </w:tc>
        <w:tc>
          <w:tcPr>
            <w:tcW w:w="1276" w:type="dxa"/>
            <w:tcBorders>
              <w:top w:val="single" w:sz="4" w:space="0" w:color="auto"/>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5 924</w:t>
            </w:r>
          </w:p>
        </w:tc>
      </w:tr>
      <w:tr w:rsidR="00DD1158" w:rsidRPr="00BA5143" w:rsidTr="00DD1158">
        <w:trPr>
          <w:trHeight w:val="270"/>
        </w:trPr>
        <w:tc>
          <w:tcPr>
            <w:tcW w:w="876" w:type="dxa"/>
            <w:tcBorders>
              <w:top w:val="nil"/>
              <w:left w:val="single" w:sz="8" w:space="0" w:color="auto"/>
              <w:bottom w:val="single" w:sz="8" w:space="0" w:color="auto"/>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3</w:t>
            </w:r>
          </w:p>
        </w:tc>
        <w:tc>
          <w:tcPr>
            <w:tcW w:w="5802" w:type="dxa"/>
            <w:tcBorders>
              <w:top w:val="nil"/>
              <w:left w:val="nil"/>
              <w:bottom w:val="single" w:sz="8" w:space="0" w:color="auto"/>
              <w:right w:val="single" w:sz="4" w:space="0" w:color="000000"/>
            </w:tcBorders>
            <w:hideMark/>
          </w:tcPr>
          <w:p w:rsidR="00DD1158" w:rsidRPr="00BA5143" w:rsidRDefault="00DD1158">
            <w:pPr>
              <w:rPr>
                <w:sz w:val="20"/>
                <w:lang w:val="en-US"/>
              </w:rPr>
            </w:pPr>
            <w:r w:rsidRPr="00BA5143">
              <w:rPr>
                <w:sz w:val="20"/>
                <w:lang w:val="en-US"/>
              </w:rPr>
              <w:t>Total operating income</w:t>
            </w:r>
          </w:p>
        </w:tc>
        <w:tc>
          <w:tcPr>
            <w:tcW w:w="1417" w:type="dxa"/>
            <w:tcBorders>
              <w:top w:val="nil"/>
              <w:left w:val="single" w:sz="4" w:space="0" w:color="auto"/>
              <w:bottom w:val="single" w:sz="8"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w:t>
            </w:r>
          </w:p>
        </w:tc>
        <w:tc>
          <w:tcPr>
            <w:tcW w:w="1276" w:type="dxa"/>
            <w:tcBorders>
              <w:top w:val="nil"/>
              <w:left w:val="nil"/>
              <w:bottom w:val="single" w:sz="8"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5 925</w:t>
            </w:r>
          </w:p>
        </w:tc>
      </w:tr>
    </w:tbl>
    <w:p w:rsidR="00471F7D" w:rsidRPr="00BA5143" w:rsidRDefault="00471F7D" w:rsidP="007648DB">
      <w:pPr>
        <w:spacing w:line="240" w:lineRule="exact"/>
        <w:jc w:val="both"/>
        <w:rPr>
          <w:b/>
          <w:highlight w:val="yellow"/>
          <w:lang w:val="en-US"/>
        </w:rPr>
      </w:pPr>
    </w:p>
    <w:p w:rsidR="00DD1158" w:rsidRPr="00BA5143" w:rsidRDefault="00DD1158" w:rsidP="0066088D">
      <w:pPr>
        <w:pStyle w:val="a4"/>
        <w:spacing w:before="120" w:beforeAutospacing="0" w:after="0" w:afterAutospacing="0"/>
        <w:jc w:val="both"/>
        <w:rPr>
          <w:b/>
          <w:lang w:val="en-US"/>
        </w:rPr>
      </w:pPr>
      <w:r w:rsidRPr="00BA5143">
        <w:rPr>
          <w:b/>
          <w:lang w:val="en-US"/>
        </w:rPr>
        <w:t>NOTE 21. ADMINISTRATIVE AND OTHER OPERATING EXPENSES</w:t>
      </w:r>
    </w:p>
    <w:p w:rsidR="00DD1158" w:rsidRPr="00BA5143" w:rsidRDefault="00DD1158" w:rsidP="0066088D">
      <w:pPr>
        <w:pStyle w:val="a4"/>
        <w:spacing w:before="120" w:beforeAutospacing="0" w:after="0" w:afterAutospacing="0"/>
        <w:jc w:val="both"/>
        <w:rPr>
          <w:b/>
          <w:lang w:val="en-US"/>
        </w:rPr>
      </w:pPr>
    </w:p>
    <w:p w:rsidR="00DD1158" w:rsidRPr="00BA5143" w:rsidRDefault="00DD1158" w:rsidP="00DD1158">
      <w:pPr>
        <w:spacing w:line="240" w:lineRule="exact"/>
        <w:rPr>
          <w:b/>
          <w:lang w:val="en-US"/>
        </w:rPr>
      </w:pPr>
      <w:r w:rsidRPr="00BA5143">
        <w:rPr>
          <w:b/>
          <w:lang w:val="en-US"/>
        </w:rPr>
        <w:t xml:space="preserve">Table 21.1. The cost of employee benefits </w:t>
      </w:r>
    </w:p>
    <w:p w:rsidR="00DD1158" w:rsidRPr="00BA5143" w:rsidRDefault="00DD1158" w:rsidP="00DD1158">
      <w:pPr>
        <w:spacing w:line="240" w:lineRule="exact"/>
        <w:jc w:val="right"/>
        <w:rPr>
          <w:b/>
          <w:lang w:val="en-US"/>
        </w:rPr>
      </w:pPr>
      <w:r w:rsidRPr="00BA5143">
        <w:rPr>
          <w:lang w:val="en-US"/>
        </w:rPr>
        <w:t>(ths. UAH.)</w:t>
      </w:r>
    </w:p>
    <w:tbl>
      <w:tblPr>
        <w:tblW w:w="9355" w:type="dxa"/>
        <w:tblInd w:w="93" w:type="dxa"/>
        <w:tblLook w:val="04A0"/>
      </w:tblPr>
      <w:tblGrid>
        <w:gridCol w:w="952"/>
        <w:gridCol w:w="5726"/>
        <w:gridCol w:w="1417"/>
        <w:gridCol w:w="1260"/>
      </w:tblGrid>
      <w:tr w:rsidR="00DD1158" w:rsidRPr="00BA5143" w:rsidTr="00DD1158">
        <w:trPr>
          <w:trHeight w:val="181"/>
        </w:trPr>
        <w:tc>
          <w:tcPr>
            <w:tcW w:w="952" w:type="dxa"/>
            <w:tcBorders>
              <w:top w:val="single" w:sz="8" w:space="0" w:color="auto"/>
              <w:left w:val="single" w:sz="8" w:space="0" w:color="auto"/>
              <w:bottom w:val="single" w:sz="4" w:space="0" w:color="000000"/>
              <w:right w:val="single" w:sz="4" w:space="0" w:color="000000"/>
            </w:tcBorders>
            <w:vAlign w:val="bottom"/>
            <w:hideMark/>
          </w:tcPr>
          <w:p w:rsidR="00DD1158" w:rsidRPr="00BA5143" w:rsidRDefault="00DD1158">
            <w:pPr>
              <w:jc w:val="center"/>
              <w:rPr>
                <w:sz w:val="20"/>
                <w:szCs w:val="20"/>
                <w:lang w:val="en-US"/>
              </w:rPr>
            </w:pPr>
            <w:r w:rsidRPr="00BA5143">
              <w:rPr>
                <w:sz w:val="20"/>
                <w:szCs w:val="20"/>
                <w:lang w:val="en-US"/>
              </w:rPr>
              <w:t>Line </w:t>
            </w:r>
          </w:p>
        </w:tc>
        <w:tc>
          <w:tcPr>
            <w:tcW w:w="5726" w:type="dxa"/>
            <w:tcBorders>
              <w:top w:val="single" w:sz="8" w:space="0" w:color="auto"/>
              <w:left w:val="nil"/>
              <w:bottom w:val="single" w:sz="4" w:space="0" w:color="000000"/>
              <w:right w:val="single" w:sz="4" w:space="0" w:color="000000"/>
            </w:tcBorders>
            <w:vAlign w:val="center"/>
            <w:hideMark/>
          </w:tcPr>
          <w:p w:rsidR="00DD1158" w:rsidRPr="00BA5143" w:rsidRDefault="00DD1158">
            <w:pPr>
              <w:spacing w:line="200" w:lineRule="exact"/>
              <w:jc w:val="center"/>
              <w:rPr>
                <w:sz w:val="20"/>
                <w:lang w:val="en-US"/>
              </w:rPr>
            </w:pPr>
            <w:r w:rsidRPr="00BA5143">
              <w:rPr>
                <w:sz w:val="20"/>
                <w:lang w:val="en-US"/>
              </w:rPr>
              <w:t>Item</w:t>
            </w:r>
          </w:p>
        </w:tc>
        <w:tc>
          <w:tcPr>
            <w:tcW w:w="1417" w:type="dxa"/>
            <w:tcBorders>
              <w:top w:val="single" w:sz="8" w:space="0" w:color="auto"/>
              <w:left w:val="nil"/>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2018</w:t>
            </w:r>
          </w:p>
        </w:tc>
        <w:tc>
          <w:tcPr>
            <w:tcW w:w="1260" w:type="dxa"/>
            <w:tcBorders>
              <w:top w:val="single" w:sz="8" w:space="0" w:color="auto"/>
              <w:left w:val="nil"/>
              <w:bottom w:val="single" w:sz="4" w:space="0" w:color="000000"/>
              <w:right w:val="single" w:sz="8" w:space="0" w:color="auto"/>
            </w:tcBorders>
            <w:vAlign w:val="center"/>
            <w:hideMark/>
          </w:tcPr>
          <w:p w:rsidR="00DD1158" w:rsidRPr="00BA5143" w:rsidRDefault="00DD1158">
            <w:pPr>
              <w:jc w:val="center"/>
              <w:rPr>
                <w:sz w:val="20"/>
                <w:szCs w:val="20"/>
                <w:lang w:val="en-US"/>
              </w:rPr>
            </w:pPr>
            <w:r w:rsidRPr="00BA5143">
              <w:rPr>
                <w:sz w:val="20"/>
                <w:szCs w:val="20"/>
                <w:lang w:val="en-US"/>
              </w:rPr>
              <w:t>2017</w:t>
            </w:r>
          </w:p>
        </w:tc>
      </w:tr>
      <w:tr w:rsidR="00DD1158" w:rsidRPr="00BA5143" w:rsidTr="00DD1158">
        <w:trPr>
          <w:trHeight w:val="181"/>
        </w:trPr>
        <w:tc>
          <w:tcPr>
            <w:tcW w:w="952"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1 </w:t>
            </w:r>
          </w:p>
        </w:tc>
        <w:tc>
          <w:tcPr>
            <w:tcW w:w="5726" w:type="dxa"/>
            <w:tcBorders>
              <w:top w:val="nil"/>
              <w:left w:val="nil"/>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2 </w:t>
            </w:r>
          </w:p>
        </w:tc>
        <w:tc>
          <w:tcPr>
            <w:tcW w:w="1417" w:type="dxa"/>
            <w:tcBorders>
              <w:top w:val="nil"/>
              <w:left w:val="nil"/>
              <w:bottom w:val="nil"/>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3 </w:t>
            </w:r>
          </w:p>
        </w:tc>
        <w:tc>
          <w:tcPr>
            <w:tcW w:w="1260" w:type="dxa"/>
            <w:tcBorders>
              <w:top w:val="nil"/>
              <w:left w:val="nil"/>
              <w:bottom w:val="nil"/>
              <w:right w:val="single" w:sz="8" w:space="0" w:color="auto"/>
            </w:tcBorders>
            <w:vAlign w:val="center"/>
            <w:hideMark/>
          </w:tcPr>
          <w:p w:rsidR="00DD1158" w:rsidRPr="00BA5143" w:rsidRDefault="00DD1158">
            <w:pPr>
              <w:jc w:val="center"/>
              <w:rPr>
                <w:sz w:val="20"/>
                <w:szCs w:val="20"/>
                <w:lang w:val="en-US"/>
              </w:rPr>
            </w:pPr>
            <w:r w:rsidRPr="00BA5143">
              <w:rPr>
                <w:sz w:val="20"/>
                <w:szCs w:val="20"/>
                <w:lang w:val="en-US"/>
              </w:rPr>
              <w:t>4 </w:t>
            </w:r>
          </w:p>
        </w:tc>
      </w:tr>
      <w:tr w:rsidR="00DD1158" w:rsidRPr="00BA5143" w:rsidTr="00DD1158">
        <w:trPr>
          <w:trHeight w:val="181"/>
        </w:trPr>
        <w:tc>
          <w:tcPr>
            <w:tcW w:w="952"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1</w:t>
            </w:r>
          </w:p>
        </w:tc>
        <w:tc>
          <w:tcPr>
            <w:tcW w:w="5726" w:type="dxa"/>
            <w:tcBorders>
              <w:top w:val="nil"/>
              <w:left w:val="nil"/>
              <w:bottom w:val="single" w:sz="4" w:space="0" w:color="000000"/>
              <w:right w:val="single" w:sz="4" w:space="0" w:color="000000"/>
            </w:tcBorders>
            <w:hideMark/>
          </w:tcPr>
          <w:p w:rsidR="00DD1158" w:rsidRPr="00BA5143" w:rsidRDefault="00DD1158">
            <w:pPr>
              <w:rPr>
                <w:sz w:val="20"/>
                <w:lang w:val="en-US"/>
              </w:rPr>
            </w:pPr>
            <w:r w:rsidRPr="00BA5143">
              <w:rPr>
                <w:sz w:val="20"/>
                <w:lang w:val="en-US"/>
              </w:rPr>
              <w:t>Wages and bonuses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(8 484)</w:t>
            </w:r>
          </w:p>
        </w:tc>
        <w:tc>
          <w:tcPr>
            <w:tcW w:w="1260" w:type="dxa"/>
            <w:tcBorders>
              <w:top w:val="single" w:sz="4" w:space="0" w:color="auto"/>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(5 847)</w:t>
            </w:r>
          </w:p>
        </w:tc>
      </w:tr>
      <w:tr w:rsidR="00DD1158" w:rsidRPr="00BA5143" w:rsidTr="00DD1158">
        <w:trPr>
          <w:trHeight w:val="181"/>
        </w:trPr>
        <w:tc>
          <w:tcPr>
            <w:tcW w:w="952"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2</w:t>
            </w:r>
          </w:p>
        </w:tc>
        <w:tc>
          <w:tcPr>
            <w:tcW w:w="5726" w:type="dxa"/>
            <w:tcBorders>
              <w:top w:val="nil"/>
              <w:left w:val="nil"/>
              <w:bottom w:val="single" w:sz="4" w:space="0" w:color="000000"/>
              <w:right w:val="single" w:sz="4" w:space="0" w:color="000000"/>
            </w:tcBorders>
            <w:hideMark/>
          </w:tcPr>
          <w:p w:rsidR="00DD1158" w:rsidRPr="00BA5143" w:rsidRDefault="00DD1158">
            <w:pPr>
              <w:rPr>
                <w:sz w:val="20"/>
                <w:lang w:val="en-US"/>
              </w:rPr>
            </w:pPr>
            <w:r w:rsidRPr="00BA5143">
              <w:rPr>
                <w:sz w:val="20"/>
                <w:lang w:val="en-US"/>
              </w:rPr>
              <w:t>Charges to the wage fund</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(1 569)</w:t>
            </w:r>
          </w:p>
        </w:tc>
        <w:tc>
          <w:tcPr>
            <w:tcW w:w="1260" w:type="dxa"/>
            <w:tcBorders>
              <w:top w:val="single" w:sz="4" w:space="0" w:color="auto"/>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(1 151)</w:t>
            </w:r>
          </w:p>
        </w:tc>
      </w:tr>
      <w:tr w:rsidR="00DD1158" w:rsidRPr="00BA5143" w:rsidTr="00DD1158">
        <w:trPr>
          <w:trHeight w:val="181"/>
        </w:trPr>
        <w:tc>
          <w:tcPr>
            <w:tcW w:w="952"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3</w:t>
            </w:r>
          </w:p>
        </w:tc>
        <w:tc>
          <w:tcPr>
            <w:tcW w:w="5726" w:type="dxa"/>
            <w:tcBorders>
              <w:top w:val="nil"/>
              <w:left w:val="nil"/>
              <w:bottom w:val="single" w:sz="4" w:space="0" w:color="000000"/>
              <w:right w:val="single" w:sz="4" w:space="0" w:color="000000"/>
            </w:tcBorders>
            <w:hideMark/>
          </w:tcPr>
          <w:p w:rsidR="00DD1158" w:rsidRPr="00BA5143" w:rsidRDefault="00DD1158">
            <w:pPr>
              <w:rPr>
                <w:sz w:val="20"/>
                <w:lang w:val="en-US"/>
              </w:rPr>
            </w:pPr>
            <w:r w:rsidRPr="00BA5143">
              <w:rPr>
                <w:sz w:val="20"/>
                <w:lang w:val="en-US"/>
              </w:rPr>
              <w:t>Other payments to employees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(115)</w:t>
            </w:r>
          </w:p>
        </w:tc>
        <w:tc>
          <w:tcPr>
            <w:tcW w:w="1260" w:type="dxa"/>
            <w:tcBorders>
              <w:top w:val="single" w:sz="4" w:space="0" w:color="auto"/>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(28)</w:t>
            </w:r>
          </w:p>
        </w:tc>
      </w:tr>
      <w:tr w:rsidR="00DD1158" w:rsidRPr="00BA5143" w:rsidTr="00DD1158">
        <w:trPr>
          <w:trHeight w:val="181"/>
        </w:trPr>
        <w:tc>
          <w:tcPr>
            <w:tcW w:w="952" w:type="dxa"/>
            <w:tcBorders>
              <w:top w:val="nil"/>
              <w:left w:val="single" w:sz="8" w:space="0" w:color="auto"/>
              <w:bottom w:val="single" w:sz="4" w:space="0" w:color="000000"/>
              <w:right w:val="single" w:sz="4" w:space="0" w:color="000000"/>
            </w:tcBorders>
            <w:vAlign w:val="center"/>
            <w:hideMark/>
          </w:tcPr>
          <w:p w:rsidR="00DD1158" w:rsidRPr="00BA5143" w:rsidRDefault="00DD1158">
            <w:pPr>
              <w:jc w:val="center"/>
              <w:rPr>
                <w:sz w:val="20"/>
                <w:szCs w:val="20"/>
                <w:lang w:val="en-US"/>
              </w:rPr>
            </w:pPr>
            <w:r w:rsidRPr="00BA5143">
              <w:rPr>
                <w:sz w:val="20"/>
                <w:szCs w:val="20"/>
                <w:lang w:val="en-US"/>
              </w:rPr>
              <w:t>4 </w:t>
            </w:r>
          </w:p>
        </w:tc>
        <w:tc>
          <w:tcPr>
            <w:tcW w:w="5726" w:type="dxa"/>
            <w:tcBorders>
              <w:top w:val="nil"/>
              <w:left w:val="nil"/>
              <w:bottom w:val="single" w:sz="4" w:space="0" w:color="000000"/>
              <w:right w:val="single" w:sz="4" w:space="0" w:color="000000"/>
            </w:tcBorders>
            <w:hideMark/>
          </w:tcPr>
          <w:p w:rsidR="00DD1158" w:rsidRPr="00BA5143" w:rsidRDefault="00DD1158">
            <w:pPr>
              <w:rPr>
                <w:sz w:val="20"/>
                <w:lang w:val="en-US"/>
              </w:rPr>
            </w:pPr>
            <w:r w:rsidRPr="00BA5143">
              <w:rPr>
                <w:sz w:val="20"/>
                <w:lang w:val="en-US"/>
              </w:rPr>
              <w:t>Total staff costs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1158" w:rsidRPr="00BA5143" w:rsidRDefault="00DD1158">
            <w:pPr>
              <w:jc w:val="right"/>
              <w:rPr>
                <w:sz w:val="20"/>
                <w:szCs w:val="20"/>
                <w:lang w:val="en-US"/>
              </w:rPr>
            </w:pPr>
            <w:r w:rsidRPr="00BA5143">
              <w:rPr>
                <w:sz w:val="20"/>
                <w:szCs w:val="20"/>
                <w:lang w:val="en-US"/>
              </w:rPr>
              <w:t xml:space="preserve"> (10 168)</w:t>
            </w:r>
          </w:p>
        </w:tc>
        <w:tc>
          <w:tcPr>
            <w:tcW w:w="1260" w:type="dxa"/>
            <w:tcBorders>
              <w:top w:val="single" w:sz="4" w:space="0" w:color="auto"/>
              <w:left w:val="nil"/>
              <w:bottom w:val="single" w:sz="4" w:space="0" w:color="auto"/>
              <w:right w:val="single" w:sz="8" w:space="0" w:color="auto"/>
            </w:tcBorders>
            <w:vAlign w:val="center"/>
            <w:hideMark/>
          </w:tcPr>
          <w:p w:rsidR="00DD1158" w:rsidRPr="00BA5143" w:rsidRDefault="00DD1158">
            <w:pPr>
              <w:jc w:val="right"/>
              <w:rPr>
                <w:sz w:val="20"/>
                <w:szCs w:val="20"/>
                <w:lang w:val="en-US"/>
              </w:rPr>
            </w:pPr>
            <w:r w:rsidRPr="00BA5143">
              <w:rPr>
                <w:sz w:val="20"/>
                <w:szCs w:val="20"/>
                <w:lang w:val="en-US"/>
              </w:rPr>
              <w:t xml:space="preserve"> (7 026)</w:t>
            </w:r>
          </w:p>
        </w:tc>
      </w:tr>
    </w:tbl>
    <w:p w:rsidR="00850E79" w:rsidRPr="00BA5143" w:rsidRDefault="00DD1158" w:rsidP="00850E79">
      <w:pPr>
        <w:pStyle w:val="a4"/>
        <w:spacing w:before="120" w:beforeAutospacing="0" w:after="0" w:afterAutospacing="0"/>
        <w:jc w:val="both"/>
        <w:rPr>
          <w:b/>
          <w:lang w:val="en-US"/>
        </w:rPr>
      </w:pPr>
      <w:r w:rsidRPr="00BA5143">
        <w:rPr>
          <w:b/>
          <w:lang w:val="en-US"/>
        </w:rPr>
        <w:t>Table</w:t>
      </w:r>
      <w:r w:rsidR="00850E79" w:rsidRPr="00BA5143">
        <w:rPr>
          <w:b/>
          <w:lang w:val="en-US"/>
        </w:rPr>
        <w:t xml:space="preserve"> 2</w:t>
      </w:r>
      <w:r w:rsidR="0003334A" w:rsidRPr="00BA5143">
        <w:rPr>
          <w:b/>
          <w:lang w:val="en-US"/>
        </w:rPr>
        <w:t>1</w:t>
      </w:r>
      <w:r w:rsidR="00850E79" w:rsidRPr="00BA5143">
        <w:rPr>
          <w:b/>
          <w:lang w:val="en-US"/>
        </w:rPr>
        <w:t>.</w:t>
      </w:r>
      <w:r w:rsidR="005A609E" w:rsidRPr="00BA5143">
        <w:rPr>
          <w:b/>
          <w:lang w:val="en-US"/>
        </w:rPr>
        <w:t>2</w:t>
      </w:r>
      <w:r w:rsidR="00850E79" w:rsidRPr="00BA5143">
        <w:rPr>
          <w:b/>
          <w:lang w:val="en-US"/>
        </w:rPr>
        <w:t xml:space="preserve">. </w:t>
      </w:r>
      <w:r w:rsidRPr="00BA5143">
        <w:rPr>
          <w:b/>
          <w:lang w:val="en-US"/>
        </w:rPr>
        <w:t>Amortization costs</w:t>
      </w:r>
    </w:p>
    <w:p w:rsidR="00DD1158" w:rsidRPr="00BA5143" w:rsidRDefault="00DD1158" w:rsidP="00DD1158">
      <w:pPr>
        <w:spacing w:line="240" w:lineRule="exact"/>
        <w:jc w:val="right"/>
        <w:rPr>
          <w:b/>
          <w:lang w:val="en-US"/>
        </w:rPr>
      </w:pPr>
      <w:r w:rsidRPr="00BA5143">
        <w:rPr>
          <w:lang w:val="en-US"/>
        </w:rPr>
        <w:t>(ths. UAH.)</w:t>
      </w:r>
    </w:p>
    <w:tbl>
      <w:tblPr>
        <w:tblW w:w="9355" w:type="dxa"/>
        <w:tblInd w:w="93" w:type="dxa"/>
        <w:tblLook w:val="0000"/>
      </w:tblPr>
      <w:tblGrid>
        <w:gridCol w:w="952"/>
        <w:gridCol w:w="5726"/>
        <w:gridCol w:w="1417"/>
        <w:gridCol w:w="1260"/>
      </w:tblGrid>
      <w:tr w:rsidR="00850E79" w:rsidRPr="00BA5143" w:rsidTr="005A609E">
        <w:trPr>
          <w:trHeight w:val="181"/>
        </w:trPr>
        <w:tc>
          <w:tcPr>
            <w:tcW w:w="952" w:type="dxa"/>
            <w:tcBorders>
              <w:top w:val="single" w:sz="8" w:space="0" w:color="auto"/>
              <w:left w:val="single" w:sz="8" w:space="0" w:color="auto"/>
              <w:bottom w:val="single" w:sz="4" w:space="0" w:color="auto"/>
              <w:right w:val="single" w:sz="4" w:space="0" w:color="000000"/>
            </w:tcBorders>
            <w:shd w:val="clear" w:color="auto" w:fill="auto"/>
            <w:vAlign w:val="center"/>
          </w:tcPr>
          <w:p w:rsidR="00850E79" w:rsidRPr="00BA5143" w:rsidRDefault="00DD1158" w:rsidP="00CD2ABE">
            <w:pPr>
              <w:jc w:val="center"/>
              <w:rPr>
                <w:color w:val="000000"/>
                <w:sz w:val="20"/>
                <w:szCs w:val="20"/>
                <w:lang w:val="en-US"/>
              </w:rPr>
            </w:pPr>
            <w:r w:rsidRPr="00BA5143">
              <w:rPr>
                <w:color w:val="000000"/>
                <w:sz w:val="20"/>
                <w:szCs w:val="20"/>
                <w:lang w:val="en-US"/>
              </w:rPr>
              <w:t>Line</w:t>
            </w:r>
          </w:p>
        </w:tc>
        <w:tc>
          <w:tcPr>
            <w:tcW w:w="5726" w:type="dxa"/>
            <w:tcBorders>
              <w:top w:val="single" w:sz="8" w:space="0" w:color="auto"/>
              <w:left w:val="nil"/>
              <w:bottom w:val="single" w:sz="4" w:space="0" w:color="auto"/>
              <w:right w:val="single" w:sz="4" w:space="0" w:color="000000"/>
            </w:tcBorders>
            <w:shd w:val="clear" w:color="auto" w:fill="auto"/>
            <w:vAlign w:val="center"/>
          </w:tcPr>
          <w:p w:rsidR="00850E79" w:rsidRPr="00BA5143" w:rsidRDefault="00DD1158" w:rsidP="00CD2ABE">
            <w:pPr>
              <w:jc w:val="center"/>
              <w:rPr>
                <w:color w:val="000000"/>
                <w:sz w:val="20"/>
                <w:szCs w:val="20"/>
                <w:lang w:val="en-US"/>
              </w:rPr>
            </w:pPr>
            <w:r w:rsidRPr="00BA5143">
              <w:rPr>
                <w:color w:val="000000"/>
                <w:sz w:val="20"/>
                <w:szCs w:val="20"/>
                <w:lang w:val="en-US"/>
              </w:rPr>
              <w:t>Item</w:t>
            </w:r>
            <w:r w:rsidR="00850E79" w:rsidRPr="00BA5143">
              <w:rPr>
                <w:color w:val="000000"/>
                <w:sz w:val="20"/>
                <w:szCs w:val="20"/>
                <w:lang w:val="en-US"/>
              </w:rPr>
              <w:t> </w:t>
            </w:r>
          </w:p>
        </w:tc>
        <w:tc>
          <w:tcPr>
            <w:tcW w:w="1417" w:type="dxa"/>
            <w:tcBorders>
              <w:top w:val="single" w:sz="8" w:space="0" w:color="auto"/>
              <w:left w:val="nil"/>
              <w:bottom w:val="single" w:sz="4" w:space="0" w:color="auto"/>
              <w:right w:val="single" w:sz="4" w:space="0" w:color="000000"/>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2018</w:t>
            </w:r>
          </w:p>
        </w:tc>
        <w:tc>
          <w:tcPr>
            <w:tcW w:w="1260" w:type="dxa"/>
            <w:tcBorders>
              <w:top w:val="single" w:sz="8" w:space="0" w:color="auto"/>
              <w:left w:val="nil"/>
              <w:bottom w:val="single" w:sz="4" w:space="0" w:color="auto"/>
              <w:right w:val="single" w:sz="8" w:space="0" w:color="auto"/>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2017</w:t>
            </w:r>
          </w:p>
        </w:tc>
      </w:tr>
      <w:tr w:rsidR="00850E79" w:rsidRPr="00BA5143" w:rsidTr="005A609E">
        <w:trPr>
          <w:trHeight w:val="181"/>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1 </w:t>
            </w:r>
          </w:p>
        </w:tc>
        <w:tc>
          <w:tcPr>
            <w:tcW w:w="5726" w:type="dxa"/>
            <w:tcBorders>
              <w:top w:val="single" w:sz="4" w:space="0" w:color="auto"/>
              <w:left w:val="single" w:sz="4" w:space="0" w:color="auto"/>
              <w:bottom w:val="single" w:sz="4" w:space="0" w:color="auto"/>
              <w:right w:val="single" w:sz="4" w:space="0" w:color="auto"/>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3 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50E79" w:rsidRPr="00BA5143" w:rsidRDefault="00850E79" w:rsidP="00CD2ABE">
            <w:pPr>
              <w:jc w:val="center"/>
              <w:rPr>
                <w:color w:val="000000"/>
                <w:sz w:val="20"/>
                <w:szCs w:val="20"/>
                <w:lang w:val="en-US"/>
              </w:rPr>
            </w:pPr>
            <w:r w:rsidRPr="00BA5143">
              <w:rPr>
                <w:color w:val="000000"/>
                <w:sz w:val="20"/>
                <w:szCs w:val="20"/>
                <w:lang w:val="en-US"/>
              </w:rPr>
              <w:t>4 </w:t>
            </w:r>
          </w:p>
        </w:tc>
      </w:tr>
      <w:tr w:rsidR="00DD1158" w:rsidRPr="00BA5143" w:rsidTr="00DE0D14">
        <w:trPr>
          <w:trHeight w:val="181"/>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center"/>
              <w:rPr>
                <w:color w:val="000000"/>
                <w:sz w:val="20"/>
                <w:szCs w:val="20"/>
                <w:lang w:val="en-US"/>
              </w:rPr>
            </w:pPr>
            <w:r w:rsidRPr="00BA5143">
              <w:rPr>
                <w:color w:val="000000"/>
                <w:sz w:val="20"/>
                <w:szCs w:val="20"/>
                <w:lang w:val="en-US"/>
              </w:rPr>
              <w:t>1 </w:t>
            </w:r>
          </w:p>
        </w:tc>
        <w:tc>
          <w:tcPr>
            <w:tcW w:w="5726" w:type="dxa"/>
            <w:tcBorders>
              <w:top w:val="single" w:sz="4" w:space="0" w:color="auto"/>
              <w:left w:val="single" w:sz="4" w:space="0" w:color="auto"/>
              <w:bottom w:val="single" w:sz="4" w:space="0" w:color="auto"/>
              <w:right w:val="single" w:sz="4" w:space="0" w:color="auto"/>
            </w:tcBorders>
            <w:shd w:val="clear" w:color="auto" w:fill="auto"/>
          </w:tcPr>
          <w:p w:rsidR="00DD1158" w:rsidRPr="00BA5143" w:rsidRDefault="00DD1158" w:rsidP="00DD1158">
            <w:pPr>
              <w:rPr>
                <w:color w:val="000000"/>
                <w:sz w:val="20"/>
                <w:szCs w:val="20"/>
                <w:lang w:val="en-US"/>
              </w:rPr>
            </w:pPr>
            <w:r w:rsidRPr="00BA5143">
              <w:rPr>
                <w:color w:val="000000"/>
                <w:sz w:val="20"/>
                <w:szCs w:val="20"/>
                <w:lang w:val="en-US"/>
              </w:rPr>
              <w:t>Amortization of fixed assets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 xml:space="preserve"> (658)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 xml:space="preserve"> (576)</w:t>
            </w:r>
          </w:p>
        </w:tc>
      </w:tr>
      <w:tr w:rsidR="00DD1158" w:rsidRPr="00BA5143" w:rsidTr="00DE0D14">
        <w:trPr>
          <w:trHeight w:val="181"/>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center"/>
              <w:rPr>
                <w:color w:val="000000"/>
                <w:sz w:val="20"/>
                <w:szCs w:val="20"/>
                <w:lang w:val="en-US"/>
              </w:rPr>
            </w:pPr>
            <w:r w:rsidRPr="00BA5143">
              <w:rPr>
                <w:color w:val="000000"/>
                <w:sz w:val="20"/>
                <w:szCs w:val="20"/>
                <w:lang w:val="en-US"/>
              </w:rPr>
              <w:t>2</w:t>
            </w:r>
          </w:p>
        </w:tc>
        <w:tc>
          <w:tcPr>
            <w:tcW w:w="5726" w:type="dxa"/>
            <w:tcBorders>
              <w:top w:val="single" w:sz="4" w:space="0" w:color="auto"/>
              <w:left w:val="single" w:sz="4" w:space="0" w:color="auto"/>
              <w:bottom w:val="single" w:sz="4" w:space="0" w:color="auto"/>
              <w:right w:val="single" w:sz="4" w:space="0" w:color="auto"/>
            </w:tcBorders>
            <w:shd w:val="clear" w:color="auto" w:fill="auto"/>
          </w:tcPr>
          <w:p w:rsidR="00DD1158" w:rsidRPr="00BA5143" w:rsidRDefault="00DD1158" w:rsidP="00DD1158">
            <w:pPr>
              <w:rPr>
                <w:color w:val="000000"/>
                <w:sz w:val="20"/>
                <w:szCs w:val="20"/>
                <w:lang w:val="en-US"/>
              </w:rPr>
            </w:pPr>
            <w:r w:rsidRPr="00BA5143">
              <w:rPr>
                <w:color w:val="000000"/>
                <w:sz w:val="20"/>
                <w:szCs w:val="20"/>
                <w:lang w:val="en-US"/>
              </w:rPr>
              <w:t>Amortization of software and other intangible assets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(44)</w:t>
            </w:r>
          </w:p>
        </w:tc>
      </w:tr>
      <w:tr w:rsidR="00DD1158" w:rsidRPr="00BA5143" w:rsidTr="00DE0D14">
        <w:trPr>
          <w:trHeight w:val="181"/>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center"/>
              <w:rPr>
                <w:color w:val="000000"/>
                <w:sz w:val="20"/>
                <w:szCs w:val="20"/>
                <w:lang w:val="en-US"/>
              </w:rPr>
            </w:pPr>
            <w:r w:rsidRPr="00BA5143">
              <w:rPr>
                <w:color w:val="000000"/>
                <w:sz w:val="20"/>
                <w:szCs w:val="20"/>
                <w:lang w:val="en-US"/>
              </w:rPr>
              <w:t>3</w:t>
            </w:r>
          </w:p>
        </w:tc>
        <w:tc>
          <w:tcPr>
            <w:tcW w:w="5726" w:type="dxa"/>
            <w:tcBorders>
              <w:top w:val="single" w:sz="4" w:space="0" w:color="auto"/>
              <w:left w:val="single" w:sz="4" w:space="0" w:color="auto"/>
              <w:bottom w:val="single" w:sz="4" w:space="0" w:color="auto"/>
              <w:right w:val="single" w:sz="4" w:space="0" w:color="auto"/>
            </w:tcBorders>
            <w:shd w:val="clear" w:color="auto" w:fill="auto"/>
          </w:tcPr>
          <w:p w:rsidR="00DD1158" w:rsidRPr="00BA5143" w:rsidRDefault="00DD1158" w:rsidP="00DD1158">
            <w:pPr>
              <w:rPr>
                <w:color w:val="000000"/>
                <w:sz w:val="20"/>
                <w:szCs w:val="20"/>
                <w:lang w:val="en-US"/>
              </w:rPr>
            </w:pPr>
            <w:r w:rsidRPr="00BA5143">
              <w:rPr>
                <w:color w:val="000000"/>
                <w:sz w:val="20"/>
                <w:szCs w:val="20"/>
                <w:lang w:val="en-US"/>
              </w:rPr>
              <w:t>Total amortization costs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(712)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D1158" w:rsidRPr="00BA5143" w:rsidRDefault="00DD1158" w:rsidP="00DD1158">
            <w:pPr>
              <w:jc w:val="right"/>
              <w:rPr>
                <w:color w:val="000000"/>
                <w:sz w:val="20"/>
                <w:szCs w:val="20"/>
                <w:lang w:val="en-US"/>
              </w:rPr>
            </w:pPr>
            <w:r w:rsidRPr="00BA5143">
              <w:rPr>
                <w:color w:val="000000"/>
                <w:sz w:val="20"/>
                <w:szCs w:val="20"/>
                <w:lang w:val="en-US"/>
              </w:rPr>
              <w:t>(620)</w:t>
            </w:r>
          </w:p>
        </w:tc>
      </w:tr>
    </w:tbl>
    <w:p w:rsidR="00DD1158" w:rsidRPr="00BA5143" w:rsidRDefault="00DD1158" w:rsidP="00DD1158">
      <w:pPr>
        <w:spacing w:line="240" w:lineRule="exact"/>
        <w:rPr>
          <w:b/>
          <w:lang w:val="en-US"/>
        </w:rPr>
      </w:pPr>
    </w:p>
    <w:p w:rsidR="00DD1158" w:rsidRPr="00BA5143" w:rsidRDefault="00DD1158" w:rsidP="00DD1158">
      <w:pPr>
        <w:spacing w:line="240" w:lineRule="exact"/>
        <w:rPr>
          <w:b/>
          <w:lang w:val="en-US"/>
        </w:rPr>
      </w:pPr>
      <w:r w:rsidRPr="00BA5143">
        <w:rPr>
          <w:b/>
          <w:lang w:val="en-US"/>
        </w:rPr>
        <w:t xml:space="preserve">Table 21.3. Other administrative expenses and operating expenses </w:t>
      </w:r>
    </w:p>
    <w:p w:rsidR="00F22C27" w:rsidRPr="00BA5143" w:rsidRDefault="00F22C27" w:rsidP="00F22C27">
      <w:pPr>
        <w:spacing w:line="240" w:lineRule="exact"/>
        <w:jc w:val="right"/>
        <w:rPr>
          <w:b/>
          <w:lang w:val="en-US"/>
        </w:rPr>
      </w:pPr>
      <w:r w:rsidRPr="00BA5143">
        <w:rPr>
          <w:lang w:val="en-US"/>
        </w:rPr>
        <w:t>(ths. UAH.)</w:t>
      </w:r>
    </w:p>
    <w:tbl>
      <w:tblPr>
        <w:tblW w:w="93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5726"/>
        <w:gridCol w:w="1417"/>
        <w:gridCol w:w="1260"/>
      </w:tblGrid>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Line </w:t>
            </w:r>
          </w:p>
        </w:tc>
        <w:tc>
          <w:tcPr>
            <w:tcW w:w="5726"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spacing w:line="200" w:lineRule="exact"/>
              <w:jc w:val="center"/>
              <w:rPr>
                <w:sz w:val="20"/>
                <w:lang w:val="en-US"/>
              </w:rPr>
            </w:pPr>
            <w:r w:rsidRPr="00BA5143">
              <w:rPr>
                <w:sz w:val="20"/>
                <w:lang w:val="en-US"/>
              </w:rPr>
              <w:t>Item</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2018</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2017</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1 </w:t>
            </w:r>
          </w:p>
        </w:tc>
        <w:tc>
          <w:tcPr>
            <w:tcW w:w="5726"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2 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3 </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4 </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1</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Costs of maintenance of fixed assets and intangible assets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(1 563)</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(1 017)</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2</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Professional services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(124)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(31)</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3</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Marketing and advertising costs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(25)</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4</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Payment of other taxes and duties, except for income tax</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(376)</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(336)</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5</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Telecommunication costs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lang w:val="en-US"/>
              </w:rPr>
            </w:pPr>
            <w:r w:rsidRPr="00BA5143">
              <w:rPr>
                <w:sz w:val="20"/>
                <w:szCs w:val="20"/>
                <w:lang w:val="en-US"/>
              </w:rPr>
              <w:t>(403)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lang w:val="en-US"/>
              </w:rPr>
            </w:pPr>
            <w:r w:rsidRPr="00BA5143">
              <w:rPr>
                <w:sz w:val="20"/>
                <w:szCs w:val="20"/>
                <w:lang w:val="en-US"/>
              </w:rPr>
              <w:t>(355)</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6</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Audit costs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(30)</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7</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Other administrative and operational expenses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(1 022)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highlight w:val="yellow"/>
                <w:lang w:val="en-US"/>
              </w:rPr>
            </w:pPr>
            <w:r w:rsidRPr="00BA5143">
              <w:rPr>
                <w:sz w:val="20"/>
                <w:szCs w:val="20"/>
                <w:lang w:val="en-US"/>
              </w:rPr>
              <w:t xml:space="preserve"> (1 017)</w:t>
            </w:r>
          </w:p>
        </w:tc>
      </w:tr>
      <w:tr w:rsidR="00F22C27" w:rsidRPr="00BA5143" w:rsidTr="00F22C27">
        <w:trPr>
          <w:trHeight w:val="181"/>
        </w:trPr>
        <w:tc>
          <w:tcPr>
            <w:tcW w:w="952"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center"/>
              <w:rPr>
                <w:sz w:val="20"/>
                <w:szCs w:val="20"/>
                <w:lang w:val="en-US"/>
              </w:rPr>
            </w:pPr>
            <w:r w:rsidRPr="00BA5143">
              <w:rPr>
                <w:sz w:val="20"/>
                <w:szCs w:val="20"/>
                <w:lang w:val="en-US"/>
              </w:rPr>
              <w:t>8</w:t>
            </w:r>
          </w:p>
        </w:tc>
        <w:tc>
          <w:tcPr>
            <w:tcW w:w="5726"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lang w:val="en-US"/>
              </w:rPr>
            </w:pPr>
            <w:r w:rsidRPr="00BA5143">
              <w:rPr>
                <w:sz w:val="20"/>
                <w:lang w:val="en-US"/>
              </w:rPr>
              <w:t>Total administrative and other operating expenses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lang w:val="en-US"/>
              </w:rPr>
            </w:pPr>
            <w:r w:rsidRPr="00BA5143">
              <w:rPr>
                <w:sz w:val="20"/>
                <w:szCs w:val="20"/>
                <w:lang w:val="en-US"/>
              </w:rPr>
              <w:t xml:space="preserve"> (3 612)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F22C27">
            <w:pPr>
              <w:jc w:val="right"/>
              <w:rPr>
                <w:sz w:val="20"/>
                <w:szCs w:val="20"/>
                <w:lang w:val="en-US"/>
              </w:rPr>
            </w:pPr>
            <w:r w:rsidRPr="00BA5143">
              <w:rPr>
                <w:sz w:val="20"/>
                <w:szCs w:val="20"/>
                <w:lang w:val="en-US"/>
              </w:rPr>
              <w:t xml:space="preserve"> (2 811)</w:t>
            </w:r>
          </w:p>
        </w:tc>
      </w:tr>
    </w:tbl>
    <w:p w:rsidR="00F239AD" w:rsidRPr="00BA5143" w:rsidRDefault="00F239AD" w:rsidP="00F239AD">
      <w:pPr>
        <w:tabs>
          <w:tab w:val="right" w:pos="9279"/>
        </w:tabs>
        <w:ind w:firstLine="284"/>
        <w:jc w:val="both"/>
        <w:rPr>
          <w:sz w:val="20"/>
          <w:szCs w:val="20"/>
          <w:lang w:val="en-US"/>
        </w:rPr>
      </w:pPr>
    </w:p>
    <w:p w:rsidR="00F239AD" w:rsidRPr="00BA5143" w:rsidRDefault="00F239AD" w:rsidP="00F239AD">
      <w:pPr>
        <w:tabs>
          <w:tab w:val="right" w:pos="9279"/>
        </w:tabs>
        <w:ind w:firstLine="284"/>
        <w:jc w:val="both"/>
        <w:rPr>
          <w:sz w:val="20"/>
          <w:szCs w:val="20"/>
          <w:lang w:val="en-US"/>
        </w:rPr>
      </w:pPr>
      <w:r w:rsidRPr="00BA5143">
        <w:rPr>
          <w:sz w:val="20"/>
          <w:szCs w:val="20"/>
          <w:lang w:val="en-US"/>
        </w:rPr>
        <w:t>* Article “Other administrative and operating expenses” consist of:</w:t>
      </w:r>
    </w:p>
    <w:p w:rsidR="00F239AD" w:rsidRPr="00BA5143" w:rsidRDefault="00F239AD" w:rsidP="00F239AD">
      <w:pPr>
        <w:tabs>
          <w:tab w:val="right" w:pos="9279"/>
        </w:tabs>
        <w:ind w:firstLine="284"/>
        <w:jc w:val="both"/>
        <w:rPr>
          <w:sz w:val="20"/>
          <w:szCs w:val="20"/>
          <w:lang w:val="en-US"/>
        </w:rPr>
      </w:pPr>
      <w:r w:rsidRPr="00BA5143">
        <w:rPr>
          <w:sz w:val="20"/>
          <w:szCs w:val="20"/>
          <w:lang w:val="en-US"/>
        </w:rPr>
        <w:t>1. Expenditures on information services received - 123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2. Expenses on securities of own issue - 22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3. Postal and telephone expenses - 67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4. Expenses on business trip - 203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5. Representative expenses - 71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6. The expenses for sponsorship and charity - 15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7. Transport services - 213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8. Other operating expenses - 31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9. Other administrative expenses - 103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10. Other expenses - 90 thousand UAH.</w:t>
      </w:r>
    </w:p>
    <w:p w:rsidR="00F239AD" w:rsidRPr="00BA5143" w:rsidRDefault="00F239AD" w:rsidP="00F239AD">
      <w:pPr>
        <w:tabs>
          <w:tab w:val="right" w:pos="9279"/>
        </w:tabs>
        <w:ind w:firstLine="284"/>
        <w:jc w:val="both"/>
        <w:rPr>
          <w:sz w:val="20"/>
          <w:szCs w:val="20"/>
          <w:lang w:val="en-US"/>
        </w:rPr>
      </w:pPr>
      <w:r w:rsidRPr="00BA5143">
        <w:rPr>
          <w:sz w:val="20"/>
          <w:szCs w:val="20"/>
          <w:lang w:val="en-US"/>
        </w:rPr>
        <w:t>11. To increase the reserve for accounts receivable under economic operations of the Bank - 84 thousand UAH.</w:t>
      </w:r>
    </w:p>
    <w:p w:rsidR="00F239AD" w:rsidRPr="00BA5143" w:rsidRDefault="00F239AD" w:rsidP="00F239AD">
      <w:pPr>
        <w:tabs>
          <w:tab w:val="right" w:pos="9279"/>
        </w:tabs>
        <w:jc w:val="both"/>
        <w:rPr>
          <w:sz w:val="20"/>
          <w:szCs w:val="20"/>
          <w:lang w:val="en-US"/>
        </w:rPr>
      </w:pPr>
    </w:p>
    <w:p w:rsidR="00315869" w:rsidRDefault="00315869" w:rsidP="00F22C27">
      <w:pPr>
        <w:rPr>
          <w:b/>
          <w:lang w:val="en-US"/>
        </w:rPr>
      </w:pPr>
    </w:p>
    <w:p w:rsidR="00315869" w:rsidRDefault="00315869" w:rsidP="00F22C27">
      <w:pPr>
        <w:rPr>
          <w:b/>
          <w:lang w:val="en-US"/>
        </w:rPr>
      </w:pPr>
    </w:p>
    <w:p w:rsidR="00D36AB2" w:rsidRDefault="00D36AB2" w:rsidP="00F22C27">
      <w:pPr>
        <w:rPr>
          <w:b/>
          <w:lang w:val="en-US"/>
        </w:rPr>
      </w:pPr>
    </w:p>
    <w:p w:rsidR="00D36AB2" w:rsidRDefault="00D36AB2" w:rsidP="00F22C27">
      <w:pPr>
        <w:rPr>
          <w:b/>
          <w:lang w:val="en-US"/>
        </w:rPr>
      </w:pPr>
    </w:p>
    <w:p w:rsidR="00D36AB2" w:rsidRDefault="00D36AB2" w:rsidP="00F22C27">
      <w:pPr>
        <w:rPr>
          <w:b/>
          <w:lang w:val="en-US"/>
        </w:rPr>
      </w:pPr>
    </w:p>
    <w:p w:rsidR="00D36AB2" w:rsidRDefault="00D36AB2" w:rsidP="00F22C27">
      <w:pPr>
        <w:rPr>
          <w:b/>
          <w:lang w:val="en-US"/>
        </w:rPr>
      </w:pPr>
    </w:p>
    <w:p w:rsidR="00D36AB2" w:rsidRDefault="00D36AB2" w:rsidP="00F22C27">
      <w:pPr>
        <w:rPr>
          <w:b/>
          <w:lang w:val="en-US"/>
        </w:rPr>
      </w:pPr>
    </w:p>
    <w:p w:rsidR="00315869" w:rsidRDefault="00315869" w:rsidP="00F22C27">
      <w:pPr>
        <w:rPr>
          <w:b/>
          <w:lang w:val="en-US"/>
        </w:rPr>
      </w:pPr>
    </w:p>
    <w:p w:rsidR="00315869" w:rsidRDefault="00315869" w:rsidP="00F22C27">
      <w:pPr>
        <w:rPr>
          <w:b/>
          <w:lang w:val="en-US"/>
        </w:rPr>
      </w:pPr>
    </w:p>
    <w:p w:rsidR="00315869" w:rsidRDefault="00315869" w:rsidP="00F22C27">
      <w:pPr>
        <w:rPr>
          <w:b/>
          <w:lang w:val="en-US"/>
        </w:rPr>
      </w:pPr>
    </w:p>
    <w:p w:rsidR="00D36AB2" w:rsidRDefault="00D36AB2" w:rsidP="00F22C27">
      <w:pPr>
        <w:rPr>
          <w:b/>
          <w:lang w:val="en-US"/>
        </w:rPr>
      </w:pPr>
    </w:p>
    <w:p w:rsidR="00F22C27" w:rsidRPr="00BA5143" w:rsidRDefault="00F22C27" w:rsidP="00F22C27">
      <w:pPr>
        <w:rPr>
          <w:b/>
          <w:lang w:val="en-US"/>
        </w:rPr>
      </w:pPr>
      <w:proofErr w:type="gramStart"/>
      <w:r w:rsidRPr="00BA5143">
        <w:rPr>
          <w:b/>
          <w:lang w:val="en-US"/>
        </w:rPr>
        <w:t>NOTE 22.</w:t>
      </w:r>
      <w:proofErr w:type="gramEnd"/>
      <w:r w:rsidRPr="00BA5143">
        <w:rPr>
          <w:b/>
          <w:lang w:val="en-US"/>
        </w:rPr>
        <w:t xml:space="preserve"> COSTS INCOME TAXES</w:t>
      </w:r>
    </w:p>
    <w:p w:rsidR="00F22C27" w:rsidRPr="00BA5143" w:rsidRDefault="00F22C27" w:rsidP="00F22C27">
      <w:pPr>
        <w:jc w:val="right"/>
        <w:rPr>
          <w:b/>
          <w:lang w:val="en-US"/>
        </w:rPr>
      </w:pPr>
    </w:p>
    <w:p w:rsidR="00F22C27" w:rsidRPr="00BA5143" w:rsidRDefault="00F22C27" w:rsidP="00F22C27">
      <w:pPr>
        <w:rPr>
          <w:b/>
          <w:lang w:val="en-US"/>
        </w:rPr>
      </w:pPr>
      <w:r w:rsidRPr="00BA5143">
        <w:rPr>
          <w:b/>
          <w:lang w:val="en-US"/>
        </w:rPr>
        <w:t xml:space="preserve">Table 22.1. Reconciliation of accounting profit (loss) and taxable income (loss) </w:t>
      </w:r>
    </w:p>
    <w:p w:rsidR="00F22C27" w:rsidRPr="00BA5143" w:rsidRDefault="00F22C27" w:rsidP="00F22C27">
      <w:pPr>
        <w:jc w:val="right"/>
        <w:rPr>
          <w:lang w:val="en-US"/>
        </w:rPr>
      </w:pPr>
      <w:r w:rsidRPr="00BA5143">
        <w:rPr>
          <w:lang w:val="en-US"/>
        </w:rPr>
        <w:t>(ths. UAH.)</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5720"/>
        <w:gridCol w:w="1418"/>
        <w:gridCol w:w="1277"/>
      </w:tblGrid>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Line </w:t>
            </w:r>
          </w:p>
        </w:tc>
        <w:tc>
          <w:tcPr>
            <w:tcW w:w="5718" w:type="dxa"/>
            <w:tcBorders>
              <w:top w:val="single" w:sz="4" w:space="0" w:color="auto"/>
              <w:left w:val="single" w:sz="4" w:space="0" w:color="auto"/>
              <w:bottom w:val="single" w:sz="4" w:space="0" w:color="auto"/>
              <w:right w:val="single" w:sz="4" w:space="0" w:color="auto"/>
            </w:tcBorders>
            <w:vAlign w:val="center"/>
            <w:hideMark/>
          </w:tcPr>
          <w:p w:rsidR="00F22C27" w:rsidRPr="00BA5143" w:rsidRDefault="00C13E4C">
            <w:pPr>
              <w:spacing w:line="200" w:lineRule="exact"/>
              <w:jc w:val="center"/>
              <w:rPr>
                <w:sz w:val="20"/>
                <w:lang w:val="en-US"/>
              </w:rPr>
            </w:pPr>
            <w:r w:rsidRPr="00BA5143">
              <w:rPr>
                <w:sz w:val="20"/>
                <w:lang w:val="en-US"/>
              </w:rPr>
              <w:t>Item</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2018</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2017</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1 </w:t>
            </w:r>
          </w:p>
        </w:tc>
        <w:tc>
          <w:tcPr>
            <w:tcW w:w="5718"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2 </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3 </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4 </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1</w:t>
            </w:r>
          </w:p>
        </w:tc>
        <w:tc>
          <w:tcPr>
            <w:tcW w:w="5718"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szCs w:val="20"/>
                <w:lang w:val="en-US"/>
              </w:rPr>
            </w:pPr>
            <w:r w:rsidRPr="00BA5143">
              <w:rPr>
                <w:sz w:val="20"/>
                <w:szCs w:val="20"/>
                <w:lang w:val="en-US"/>
              </w:rPr>
              <w:t>Profit before tax</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8 151</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(1 412)</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2</w:t>
            </w:r>
          </w:p>
        </w:tc>
        <w:tc>
          <w:tcPr>
            <w:tcW w:w="5718"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szCs w:val="20"/>
                <w:lang w:val="en-US"/>
              </w:rPr>
            </w:pPr>
            <w:r w:rsidRPr="00BA5143">
              <w:rPr>
                <w:sz w:val="20"/>
                <w:szCs w:val="20"/>
                <w:lang w:val="en-US"/>
              </w:rPr>
              <w:t>Theoretical tax deductions at the appropriate tax rate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1 467</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(254)</w:t>
            </w:r>
          </w:p>
        </w:tc>
      </w:tr>
      <w:tr w:rsidR="00F22C27" w:rsidRPr="006C58AD" w:rsidTr="00F22C27">
        <w:trPr>
          <w:trHeight w:val="181"/>
        </w:trPr>
        <w:tc>
          <w:tcPr>
            <w:tcW w:w="9371" w:type="dxa"/>
            <w:gridSpan w:val="4"/>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rPr>
                <w:sz w:val="20"/>
                <w:szCs w:val="20"/>
                <w:lang w:val="en-US"/>
              </w:rPr>
            </w:pPr>
            <w:r w:rsidRPr="00BA5143">
              <w:rPr>
                <w:sz w:val="20"/>
                <w:szCs w:val="20"/>
                <w:lang w:val="en-US"/>
              </w:rPr>
              <w:t>IMPLEMENTATION OF ACCOUNT PROFIT (LOSS):</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3</w:t>
            </w:r>
          </w:p>
        </w:tc>
        <w:tc>
          <w:tcPr>
            <w:tcW w:w="5718"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szCs w:val="20"/>
                <w:lang w:val="en-US"/>
              </w:rPr>
            </w:pPr>
            <w:r w:rsidRPr="00BA5143">
              <w:rPr>
                <w:sz w:val="20"/>
                <w:szCs w:val="20"/>
                <w:lang w:val="en-US"/>
              </w:rPr>
              <w:t>Costs that are not included in the amount of expenses for the purpose of calculating tax revenue but are recognized in accounting</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157</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141</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4</w:t>
            </w:r>
          </w:p>
        </w:tc>
        <w:tc>
          <w:tcPr>
            <w:tcW w:w="5718"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szCs w:val="20"/>
                <w:lang w:val="en-US"/>
              </w:rPr>
            </w:pPr>
            <w:r w:rsidRPr="00BA5143">
              <w:rPr>
                <w:sz w:val="20"/>
                <w:szCs w:val="20"/>
                <w:lang w:val="en-US"/>
              </w:rPr>
              <w:t>Expenses included in the amount of expenses for the purpose of calculating tax profit but not recognized in accounting</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(5 215)</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(4 973)</w:t>
            </w:r>
          </w:p>
        </w:tc>
      </w:tr>
      <w:tr w:rsidR="00F22C27" w:rsidRPr="00BA5143" w:rsidTr="00F22C27">
        <w:trPr>
          <w:trHeight w:val="181"/>
        </w:trPr>
        <w:tc>
          <w:tcPr>
            <w:tcW w:w="960"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center"/>
              <w:rPr>
                <w:sz w:val="20"/>
                <w:szCs w:val="20"/>
                <w:lang w:val="en-US"/>
              </w:rPr>
            </w:pPr>
            <w:r w:rsidRPr="00BA5143">
              <w:rPr>
                <w:sz w:val="20"/>
                <w:szCs w:val="20"/>
                <w:lang w:val="en-US"/>
              </w:rPr>
              <w:t>5</w:t>
            </w:r>
          </w:p>
        </w:tc>
        <w:tc>
          <w:tcPr>
            <w:tcW w:w="5718" w:type="dxa"/>
            <w:tcBorders>
              <w:top w:val="single" w:sz="4" w:space="0" w:color="auto"/>
              <w:left w:val="single" w:sz="4" w:space="0" w:color="auto"/>
              <w:bottom w:val="single" w:sz="4" w:space="0" w:color="auto"/>
              <w:right w:val="single" w:sz="4" w:space="0" w:color="auto"/>
            </w:tcBorders>
            <w:hideMark/>
          </w:tcPr>
          <w:p w:rsidR="00F22C27" w:rsidRPr="00BA5143" w:rsidRDefault="00F22C27">
            <w:pPr>
              <w:rPr>
                <w:sz w:val="20"/>
                <w:szCs w:val="20"/>
                <w:lang w:val="en-US"/>
              </w:rPr>
            </w:pPr>
            <w:r w:rsidRPr="00BA5143">
              <w:rPr>
                <w:sz w:val="20"/>
                <w:szCs w:val="20"/>
                <w:lang w:val="en-US"/>
              </w:rPr>
              <w:t>Amount of tax on profit (loss)</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(3 591)</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(5 086)</w:t>
            </w:r>
          </w:p>
        </w:tc>
      </w:tr>
    </w:tbl>
    <w:p w:rsidR="00F239AD" w:rsidRPr="00BA5143" w:rsidRDefault="00F239AD" w:rsidP="00F239AD">
      <w:pPr>
        <w:spacing w:line="240" w:lineRule="exact"/>
        <w:jc w:val="both"/>
        <w:rPr>
          <w:sz w:val="20"/>
          <w:szCs w:val="20"/>
          <w:lang w:val="en-US"/>
        </w:rPr>
      </w:pPr>
    </w:p>
    <w:p w:rsidR="00F239AD" w:rsidRPr="00BA5143" w:rsidRDefault="00F239AD" w:rsidP="00D66B14">
      <w:pPr>
        <w:spacing w:line="240" w:lineRule="exact"/>
        <w:ind w:left="284"/>
        <w:jc w:val="both"/>
        <w:rPr>
          <w:sz w:val="20"/>
          <w:szCs w:val="20"/>
          <w:lang w:val="en-US"/>
        </w:rPr>
      </w:pPr>
      <w:r w:rsidRPr="00BA5143">
        <w:rPr>
          <w:sz w:val="20"/>
          <w:szCs w:val="20"/>
          <w:lang w:val="en-US"/>
        </w:rPr>
        <w:t>As at 31.12.2018, the estimated amount of the deferred tax asset is 3</w:t>
      </w:r>
      <w:r w:rsidR="00D66B14" w:rsidRPr="00BA5143">
        <w:rPr>
          <w:sz w:val="20"/>
          <w:szCs w:val="20"/>
          <w:lang w:val="en-US"/>
        </w:rPr>
        <w:t xml:space="preserve"> </w:t>
      </w:r>
      <w:r w:rsidRPr="00BA5143">
        <w:rPr>
          <w:sz w:val="20"/>
          <w:szCs w:val="20"/>
          <w:lang w:val="en-US"/>
        </w:rPr>
        <w:t>624 thousand</w:t>
      </w:r>
      <w:r w:rsidR="00D66B14" w:rsidRPr="00BA5143">
        <w:rPr>
          <w:sz w:val="20"/>
          <w:szCs w:val="20"/>
          <w:lang w:val="en-US"/>
        </w:rPr>
        <w:t xml:space="preserve"> UAH</w:t>
      </w:r>
      <w:r w:rsidRPr="00BA5143">
        <w:rPr>
          <w:sz w:val="20"/>
          <w:szCs w:val="20"/>
          <w:lang w:val="en-US"/>
        </w:rPr>
        <w:t>, including:</w:t>
      </w:r>
    </w:p>
    <w:p w:rsidR="00F239AD" w:rsidRPr="00BA5143" w:rsidRDefault="00F239AD" w:rsidP="00D66B14">
      <w:pPr>
        <w:spacing w:line="240" w:lineRule="exact"/>
        <w:ind w:left="284"/>
        <w:jc w:val="both"/>
        <w:rPr>
          <w:sz w:val="20"/>
          <w:szCs w:val="20"/>
          <w:lang w:val="en-US"/>
        </w:rPr>
      </w:pPr>
      <w:r w:rsidRPr="00BA5143">
        <w:rPr>
          <w:sz w:val="20"/>
          <w:szCs w:val="20"/>
          <w:lang w:val="en-US"/>
        </w:rPr>
        <w:t>- deferred tax asset due to temporary tax differences - 33 thousand UAH;</w:t>
      </w:r>
    </w:p>
    <w:p w:rsidR="00F239AD" w:rsidRPr="00BA5143" w:rsidRDefault="00F239AD" w:rsidP="00D66B14">
      <w:pPr>
        <w:spacing w:line="240" w:lineRule="exact"/>
        <w:ind w:left="284"/>
        <w:jc w:val="both"/>
        <w:rPr>
          <w:sz w:val="20"/>
          <w:szCs w:val="20"/>
          <w:lang w:val="en-US"/>
        </w:rPr>
      </w:pPr>
      <w:r w:rsidRPr="00BA5143">
        <w:rPr>
          <w:sz w:val="20"/>
          <w:szCs w:val="20"/>
          <w:lang w:val="en-US"/>
        </w:rPr>
        <w:t>- deferred tax asset at the expense of tax losses transferred to future periods - 3 591 thousand</w:t>
      </w:r>
      <w:r w:rsidR="00D66B14" w:rsidRPr="00BA5143">
        <w:rPr>
          <w:sz w:val="20"/>
          <w:szCs w:val="20"/>
          <w:lang w:val="en-US"/>
        </w:rPr>
        <w:t xml:space="preserve"> UAH</w:t>
      </w:r>
      <w:r w:rsidRPr="00BA5143">
        <w:rPr>
          <w:sz w:val="20"/>
          <w:szCs w:val="20"/>
          <w:lang w:val="en-US"/>
        </w:rPr>
        <w:t>.</w:t>
      </w:r>
    </w:p>
    <w:p w:rsidR="00673630" w:rsidRPr="00BA5143" w:rsidRDefault="00F239AD" w:rsidP="00D66B14">
      <w:pPr>
        <w:spacing w:line="240" w:lineRule="exact"/>
        <w:ind w:left="284"/>
        <w:jc w:val="both"/>
        <w:rPr>
          <w:sz w:val="20"/>
          <w:szCs w:val="20"/>
          <w:lang w:val="en-US"/>
        </w:rPr>
      </w:pPr>
      <w:r w:rsidRPr="00BA5143">
        <w:rPr>
          <w:sz w:val="20"/>
          <w:szCs w:val="20"/>
          <w:lang w:val="en-US"/>
        </w:rPr>
        <w:t>Due to the fact that during 2019 it is not expected to receive a sufficient amount of taxable profits in accordance with the tax accounting rules, the Bank did not reflect the calculated VPA in the reporting year for 2018.</w:t>
      </w:r>
    </w:p>
    <w:p w:rsidR="00F239AD" w:rsidRPr="00BA5143" w:rsidRDefault="00F239AD" w:rsidP="00D66B14">
      <w:pPr>
        <w:spacing w:line="240" w:lineRule="exact"/>
        <w:ind w:left="284"/>
        <w:jc w:val="both"/>
        <w:rPr>
          <w:b/>
          <w:highlight w:val="yellow"/>
          <w:lang w:val="en-US"/>
        </w:rPr>
      </w:pPr>
    </w:p>
    <w:p w:rsidR="003C6155" w:rsidRPr="00BA5143" w:rsidRDefault="00F22C27" w:rsidP="003C6155">
      <w:pPr>
        <w:spacing w:line="240" w:lineRule="exact"/>
        <w:rPr>
          <w:b/>
          <w:lang w:val="en-US"/>
        </w:rPr>
      </w:pPr>
      <w:r w:rsidRPr="00BA5143">
        <w:rPr>
          <w:b/>
          <w:lang w:val="en-US"/>
        </w:rPr>
        <w:t>NOTE</w:t>
      </w:r>
      <w:r w:rsidR="00F6453F" w:rsidRPr="00BA5143">
        <w:rPr>
          <w:b/>
          <w:lang w:val="en-US"/>
        </w:rPr>
        <w:t xml:space="preserve"> 2</w:t>
      </w:r>
      <w:r w:rsidR="0003334A" w:rsidRPr="00BA5143">
        <w:rPr>
          <w:b/>
          <w:lang w:val="en-US"/>
        </w:rPr>
        <w:t>3</w:t>
      </w:r>
      <w:r w:rsidR="003C6155" w:rsidRPr="00BA5143">
        <w:rPr>
          <w:b/>
          <w:lang w:val="en-US"/>
        </w:rPr>
        <w:t xml:space="preserve">. </w:t>
      </w:r>
      <w:r w:rsidRPr="00BA5143">
        <w:rPr>
          <w:b/>
          <w:lang w:val="en-US"/>
        </w:rPr>
        <w:t>PROFIT</w:t>
      </w:r>
      <w:r w:rsidR="003C6155" w:rsidRPr="00BA5143">
        <w:rPr>
          <w:b/>
          <w:lang w:val="en-US"/>
        </w:rPr>
        <w:t>/(</w:t>
      </w:r>
      <w:r w:rsidRPr="00BA5143">
        <w:rPr>
          <w:b/>
          <w:lang w:val="en-US"/>
        </w:rPr>
        <w:t>LOSS</w:t>
      </w:r>
      <w:r w:rsidR="003C6155" w:rsidRPr="00BA5143">
        <w:rPr>
          <w:b/>
          <w:lang w:val="en-US"/>
        </w:rPr>
        <w:t xml:space="preserve">) </w:t>
      </w:r>
      <w:r w:rsidRPr="00BA5143">
        <w:rPr>
          <w:b/>
          <w:lang w:val="en-US"/>
        </w:rPr>
        <w:t>PER ONE SIMPLE AND PREFFERED SHARE</w:t>
      </w:r>
    </w:p>
    <w:p w:rsidR="00F743ED" w:rsidRPr="00BA5143" w:rsidRDefault="00F743ED" w:rsidP="003C6155">
      <w:pPr>
        <w:spacing w:line="240" w:lineRule="exact"/>
        <w:rPr>
          <w:b/>
          <w:lang w:val="en-US"/>
        </w:rPr>
      </w:pPr>
    </w:p>
    <w:p w:rsidR="00F22C27" w:rsidRPr="00BA5143" w:rsidRDefault="00F22C27" w:rsidP="00F22C27">
      <w:pPr>
        <w:spacing w:line="240" w:lineRule="exact"/>
        <w:rPr>
          <w:b/>
          <w:lang w:val="en-US"/>
        </w:rPr>
      </w:pPr>
      <w:r w:rsidRPr="00BA5143">
        <w:rPr>
          <w:b/>
          <w:lang w:val="en-US"/>
        </w:rPr>
        <w:t xml:space="preserve">Table 23.1. Net and adjusted profit / (loss) for one simple and preferred share </w:t>
      </w:r>
    </w:p>
    <w:p w:rsidR="00F22C27" w:rsidRPr="00BA5143" w:rsidRDefault="00F22C27" w:rsidP="00F22C27">
      <w:pPr>
        <w:spacing w:line="240" w:lineRule="exact"/>
        <w:jc w:val="right"/>
        <w:rPr>
          <w:lang w:val="en-US"/>
        </w:rPr>
      </w:pPr>
      <w:r w:rsidRPr="00BA5143">
        <w:rPr>
          <w:lang w:val="en-US"/>
        </w:rPr>
        <w:t>(ths. UAH.)</w:t>
      </w:r>
    </w:p>
    <w:tbl>
      <w:tblPr>
        <w:tblW w:w="9294" w:type="dxa"/>
        <w:tblInd w:w="93" w:type="dxa"/>
        <w:tblLook w:val="04A0"/>
      </w:tblPr>
      <w:tblGrid>
        <w:gridCol w:w="952"/>
        <w:gridCol w:w="5867"/>
        <w:gridCol w:w="1215"/>
        <w:gridCol w:w="1260"/>
      </w:tblGrid>
      <w:tr w:rsidR="00F22C27" w:rsidRPr="00BA5143" w:rsidTr="00F22C27">
        <w:trPr>
          <w:trHeight w:val="255"/>
        </w:trPr>
        <w:tc>
          <w:tcPr>
            <w:tcW w:w="952" w:type="dxa"/>
            <w:tcBorders>
              <w:top w:val="single" w:sz="8" w:space="0" w:color="auto"/>
              <w:left w:val="single" w:sz="8" w:space="0" w:color="auto"/>
              <w:bottom w:val="single" w:sz="4" w:space="0" w:color="000000"/>
              <w:right w:val="single" w:sz="4" w:space="0" w:color="000000"/>
            </w:tcBorders>
            <w:vAlign w:val="bottom"/>
            <w:hideMark/>
          </w:tcPr>
          <w:p w:rsidR="00F22C27" w:rsidRPr="00BA5143" w:rsidRDefault="00F22C27">
            <w:pPr>
              <w:jc w:val="center"/>
              <w:rPr>
                <w:sz w:val="20"/>
                <w:szCs w:val="20"/>
                <w:lang w:val="en-US"/>
              </w:rPr>
            </w:pPr>
            <w:r w:rsidRPr="00BA5143">
              <w:rPr>
                <w:sz w:val="20"/>
                <w:szCs w:val="20"/>
                <w:lang w:val="en-US"/>
              </w:rPr>
              <w:t>Line </w:t>
            </w:r>
          </w:p>
        </w:tc>
        <w:tc>
          <w:tcPr>
            <w:tcW w:w="5867" w:type="dxa"/>
            <w:tcBorders>
              <w:top w:val="single" w:sz="8" w:space="0" w:color="auto"/>
              <w:left w:val="nil"/>
              <w:bottom w:val="single" w:sz="4" w:space="0" w:color="000000"/>
              <w:right w:val="single" w:sz="4" w:space="0" w:color="000000"/>
            </w:tcBorders>
            <w:vAlign w:val="center"/>
            <w:hideMark/>
          </w:tcPr>
          <w:p w:rsidR="00F22C27" w:rsidRPr="00BA5143" w:rsidRDefault="00F22C27">
            <w:pPr>
              <w:spacing w:line="200" w:lineRule="exact"/>
              <w:jc w:val="center"/>
              <w:rPr>
                <w:sz w:val="20"/>
                <w:lang w:val="en-US"/>
              </w:rPr>
            </w:pPr>
            <w:r w:rsidRPr="00BA5143">
              <w:rPr>
                <w:sz w:val="20"/>
                <w:lang w:val="en-US"/>
              </w:rPr>
              <w:t>Item</w:t>
            </w:r>
          </w:p>
        </w:tc>
        <w:tc>
          <w:tcPr>
            <w:tcW w:w="1215" w:type="dxa"/>
            <w:tcBorders>
              <w:top w:val="single" w:sz="8" w:space="0" w:color="auto"/>
              <w:left w:val="nil"/>
              <w:bottom w:val="single" w:sz="4" w:space="0" w:color="000000"/>
              <w:right w:val="single" w:sz="4" w:space="0" w:color="000000"/>
            </w:tcBorders>
            <w:vAlign w:val="bottom"/>
            <w:hideMark/>
          </w:tcPr>
          <w:p w:rsidR="00F22C27" w:rsidRPr="00BA5143" w:rsidRDefault="00F22C27">
            <w:pPr>
              <w:jc w:val="center"/>
              <w:rPr>
                <w:sz w:val="20"/>
                <w:szCs w:val="20"/>
                <w:lang w:val="en-US"/>
              </w:rPr>
            </w:pPr>
            <w:r w:rsidRPr="00BA5143">
              <w:rPr>
                <w:sz w:val="20"/>
                <w:szCs w:val="20"/>
                <w:lang w:val="en-US"/>
              </w:rPr>
              <w:t>2018</w:t>
            </w:r>
          </w:p>
        </w:tc>
        <w:tc>
          <w:tcPr>
            <w:tcW w:w="1260" w:type="dxa"/>
            <w:tcBorders>
              <w:top w:val="single" w:sz="8" w:space="0" w:color="auto"/>
              <w:left w:val="nil"/>
              <w:bottom w:val="single" w:sz="4" w:space="0" w:color="000000"/>
              <w:right w:val="single" w:sz="8" w:space="0" w:color="auto"/>
            </w:tcBorders>
            <w:vAlign w:val="bottom"/>
            <w:hideMark/>
          </w:tcPr>
          <w:p w:rsidR="00F22C27" w:rsidRPr="00BA5143" w:rsidRDefault="00F22C27">
            <w:pPr>
              <w:jc w:val="center"/>
              <w:rPr>
                <w:sz w:val="20"/>
                <w:szCs w:val="20"/>
                <w:lang w:val="en-US"/>
              </w:rPr>
            </w:pPr>
            <w:r w:rsidRPr="00BA5143">
              <w:rPr>
                <w:sz w:val="20"/>
                <w:szCs w:val="20"/>
                <w:lang w:val="en-US"/>
              </w:rPr>
              <w:t>2017</w:t>
            </w:r>
          </w:p>
        </w:tc>
      </w:tr>
      <w:tr w:rsidR="00F22C27" w:rsidRPr="00BA5143" w:rsidTr="00F22C27">
        <w:trPr>
          <w:trHeight w:val="255"/>
        </w:trPr>
        <w:tc>
          <w:tcPr>
            <w:tcW w:w="952" w:type="dxa"/>
            <w:tcBorders>
              <w:top w:val="nil"/>
              <w:left w:val="single" w:sz="8" w:space="0" w:color="auto"/>
              <w:bottom w:val="single" w:sz="4" w:space="0" w:color="000000"/>
              <w:right w:val="single" w:sz="4" w:space="0" w:color="000000"/>
            </w:tcBorders>
            <w:vAlign w:val="bottom"/>
            <w:hideMark/>
          </w:tcPr>
          <w:p w:rsidR="00F22C27" w:rsidRPr="00BA5143" w:rsidRDefault="00F22C27">
            <w:pPr>
              <w:jc w:val="center"/>
              <w:rPr>
                <w:sz w:val="20"/>
                <w:szCs w:val="20"/>
                <w:lang w:val="en-US"/>
              </w:rPr>
            </w:pPr>
            <w:r w:rsidRPr="00BA5143">
              <w:rPr>
                <w:sz w:val="20"/>
                <w:szCs w:val="20"/>
                <w:lang w:val="en-US"/>
              </w:rPr>
              <w:t>1 </w:t>
            </w:r>
          </w:p>
        </w:tc>
        <w:tc>
          <w:tcPr>
            <w:tcW w:w="5867" w:type="dxa"/>
            <w:tcBorders>
              <w:top w:val="nil"/>
              <w:left w:val="nil"/>
              <w:bottom w:val="single" w:sz="4" w:space="0" w:color="000000"/>
              <w:right w:val="single" w:sz="4" w:space="0" w:color="000000"/>
            </w:tcBorders>
            <w:vAlign w:val="bottom"/>
            <w:hideMark/>
          </w:tcPr>
          <w:p w:rsidR="00F22C27" w:rsidRPr="00BA5143" w:rsidRDefault="00F22C27">
            <w:pPr>
              <w:jc w:val="center"/>
              <w:rPr>
                <w:sz w:val="20"/>
                <w:szCs w:val="20"/>
                <w:lang w:val="en-US"/>
              </w:rPr>
            </w:pPr>
            <w:r w:rsidRPr="00BA5143">
              <w:rPr>
                <w:sz w:val="20"/>
                <w:szCs w:val="20"/>
                <w:lang w:val="en-US"/>
              </w:rPr>
              <w:t>2 </w:t>
            </w:r>
          </w:p>
        </w:tc>
        <w:tc>
          <w:tcPr>
            <w:tcW w:w="1215" w:type="dxa"/>
            <w:tcBorders>
              <w:top w:val="nil"/>
              <w:left w:val="nil"/>
              <w:bottom w:val="single" w:sz="4" w:space="0" w:color="auto"/>
              <w:right w:val="single" w:sz="4" w:space="0" w:color="000000"/>
            </w:tcBorders>
            <w:vAlign w:val="bottom"/>
            <w:hideMark/>
          </w:tcPr>
          <w:p w:rsidR="00F22C27" w:rsidRPr="00BA5143" w:rsidRDefault="00F22C27">
            <w:pPr>
              <w:jc w:val="center"/>
              <w:rPr>
                <w:sz w:val="20"/>
                <w:szCs w:val="20"/>
                <w:lang w:val="en-US"/>
              </w:rPr>
            </w:pPr>
            <w:r w:rsidRPr="00BA5143">
              <w:rPr>
                <w:sz w:val="20"/>
                <w:szCs w:val="20"/>
                <w:lang w:val="en-US"/>
              </w:rPr>
              <w:t>4 </w:t>
            </w:r>
          </w:p>
        </w:tc>
        <w:tc>
          <w:tcPr>
            <w:tcW w:w="1260" w:type="dxa"/>
            <w:tcBorders>
              <w:top w:val="nil"/>
              <w:left w:val="nil"/>
              <w:bottom w:val="single" w:sz="4" w:space="0" w:color="000000"/>
              <w:right w:val="single" w:sz="8" w:space="0" w:color="auto"/>
            </w:tcBorders>
            <w:vAlign w:val="bottom"/>
            <w:hideMark/>
          </w:tcPr>
          <w:p w:rsidR="00F22C27" w:rsidRPr="00BA5143" w:rsidRDefault="00F22C27">
            <w:pPr>
              <w:jc w:val="center"/>
              <w:rPr>
                <w:sz w:val="20"/>
                <w:szCs w:val="20"/>
                <w:lang w:val="en-US"/>
              </w:rPr>
            </w:pPr>
            <w:r w:rsidRPr="00BA5143">
              <w:rPr>
                <w:sz w:val="20"/>
                <w:szCs w:val="20"/>
                <w:lang w:val="en-US"/>
              </w:rPr>
              <w:t>5 </w:t>
            </w:r>
          </w:p>
        </w:tc>
      </w:tr>
      <w:tr w:rsidR="00F22C27" w:rsidRPr="00BA5143" w:rsidTr="00F22C27">
        <w:trPr>
          <w:trHeight w:val="164"/>
        </w:trPr>
        <w:tc>
          <w:tcPr>
            <w:tcW w:w="952" w:type="dxa"/>
            <w:tcBorders>
              <w:top w:val="nil"/>
              <w:left w:val="single" w:sz="8" w:space="0" w:color="auto"/>
              <w:bottom w:val="single" w:sz="4" w:space="0" w:color="000000"/>
              <w:right w:val="single" w:sz="4" w:space="0" w:color="000000"/>
            </w:tcBorders>
            <w:vAlign w:val="center"/>
            <w:hideMark/>
          </w:tcPr>
          <w:p w:rsidR="00F22C27" w:rsidRPr="00BA5143" w:rsidRDefault="00F22C27">
            <w:pPr>
              <w:jc w:val="center"/>
              <w:rPr>
                <w:sz w:val="20"/>
                <w:szCs w:val="20"/>
                <w:lang w:val="en-US"/>
              </w:rPr>
            </w:pPr>
            <w:r w:rsidRPr="00BA5143">
              <w:rPr>
                <w:sz w:val="20"/>
                <w:szCs w:val="20"/>
                <w:lang w:val="en-US"/>
              </w:rPr>
              <w:t>1 </w:t>
            </w:r>
          </w:p>
        </w:tc>
        <w:tc>
          <w:tcPr>
            <w:tcW w:w="5867" w:type="dxa"/>
            <w:tcBorders>
              <w:top w:val="nil"/>
              <w:left w:val="nil"/>
              <w:bottom w:val="single" w:sz="4" w:space="0" w:color="000000"/>
              <w:right w:val="single" w:sz="4" w:space="0" w:color="auto"/>
            </w:tcBorders>
            <w:hideMark/>
          </w:tcPr>
          <w:p w:rsidR="00F22C27" w:rsidRPr="00BA5143" w:rsidRDefault="00F22C27">
            <w:pPr>
              <w:rPr>
                <w:sz w:val="20"/>
                <w:szCs w:val="20"/>
                <w:lang w:val="en-US"/>
              </w:rPr>
            </w:pPr>
            <w:r w:rsidRPr="00BA5143">
              <w:rPr>
                <w:sz w:val="20"/>
                <w:szCs w:val="20"/>
                <w:lang w:val="en-US"/>
              </w:rPr>
              <w:t>Profit / (loss) owned by the holders of ordinary shares of the bank</w:t>
            </w:r>
          </w:p>
        </w:tc>
        <w:tc>
          <w:tcPr>
            <w:tcW w:w="1215"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8 151</w:t>
            </w:r>
          </w:p>
        </w:tc>
        <w:tc>
          <w:tcPr>
            <w:tcW w:w="1260" w:type="dxa"/>
            <w:tcBorders>
              <w:top w:val="nil"/>
              <w:left w:val="single" w:sz="4" w:space="0" w:color="auto"/>
              <w:bottom w:val="single" w:sz="4" w:space="0" w:color="000000"/>
              <w:right w:val="single" w:sz="8" w:space="0" w:color="auto"/>
            </w:tcBorders>
            <w:vAlign w:val="bottom"/>
            <w:hideMark/>
          </w:tcPr>
          <w:p w:rsidR="00F22C27" w:rsidRPr="00BA5143" w:rsidRDefault="00F22C27">
            <w:pPr>
              <w:jc w:val="right"/>
              <w:rPr>
                <w:sz w:val="20"/>
                <w:szCs w:val="20"/>
                <w:lang w:val="en-US"/>
              </w:rPr>
            </w:pPr>
            <w:r w:rsidRPr="00BA5143">
              <w:rPr>
                <w:sz w:val="20"/>
                <w:szCs w:val="20"/>
                <w:lang w:val="en-US"/>
              </w:rPr>
              <w:t>(1 412)</w:t>
            </w:r>
          </w:p>
        </w:tc>
      </w:tr>
      <w:tr w:rsidR="00F22C27" w:rsidRPr="00BA5143" w:rsidTr="00F22C27">
        <w:trPr>
          <w:trHeight w:val="164"/>
        </w:trPr>
        <w:tc>
          <w:tcPr>
            <w:tcW w:w="952" w:type="dxa"/>
            <w:tcBorders>
              <w:top w:val="nil"/>
              <w:left w:val="single" w:sz="8" w:space="0" w:color="auto"/>
              <w:bottom w:val="single" w:sz="4" w:space="0" w:color="000000"/>
              <w:right w:val="single" w:sz="4" w:space="0" w:color="000000"/>
            </w:tcBorders>
            <w:vAlign w:val="center"/>
            <w:hideMark/>
          </w:tcPr>
          <w:p w:rsidR="00F22C27" w:rsidRPr="00BA5143" w:rsidRDefault="00F22C27">
            <w:pPr>
              <w:jc w:val="center"/>
              <w:rPr>
                <w:sz w:val="20"/>
                <w:szCs w:val="20"/>
                <w:lang w:val="en-US"/>
              </w:rPr>
            </w:pPr>
            <w:r w:rsidRPr="00BA5143">
              <w:rPr>
                <w:sz w:val="20"/>
                <w:szCs w:val="20"/>
                <w:lang w:val="en-US"/>
              </w:rPr>
              <w:t>2</w:t>
            </w:r>
          </w:p>
        </w:tc>
        <w:tc>
          <w:tcPr>
            <w:tcW w:w="5867" w:type="dxa"/>
            <w:tcBorders>
              <w:top w:val="nil"/>
              <w:left w:val="nil"/>
              <w:bottom w:val="single" w:sz="4" w:space="0" w:color="000000"/>
              <w:right w:val="single" w:sz="4" w:space="0" w:color="auto"/>
            </w:tcBorders>
            <w:hideMark/>
          </w:tcPr>
          <w:p w:rsidR="00F22C27" w:rsidRPr="00BA5143" w:rsidRDefault="00F22C27">
            <w:pPr>
              <w:rPr>
                <w:sz w:val="20"/>
                <w:szCs w:val="20"/>
                <w:lang w:val="en-US"/>
              </w:rPr>
            </w:pPr>
            <w:r w:rsidRPr="00BA5143">
              <w:rPr>
                <w:sz w:val="20"/>
                <w:szCs w:val="20"/>
                <w:lang w:val="en-US"/>
              </w:rPr>
              <w:t>Profit / (loss) per year</w:t>
            </w:r>
          </w:p>
        </w:tc>
        <w:tc>
          <w:tcPr>
            <w:tcW w:w="1215" w:type="dxa"/>
            <w:tcBorders>
              <w:top w:val="single" w:sz="4" w:space="0" w:color="auto"/>
              <w:left w:val="single" w:sz="4" w:space="0" w:color="auto"/>
              <w:bottom w:val="single" w:sz="4" w:space="0" w:color="auto"/>
              <w:right w:val="single" w:sz="4" w:space="0" w:color="auto"/>
            </w:tcBorders>
            <w:vAlign w:val="bottom"/>
            <w:hideMark/>
          </w:tcPr>
          <w:p w:rsidR="00F22C27" w:rsidRPr="00BA5143" w:rsidRDefault="00F22C27">
            <w:pPr>
              <w:jc w:val="right"/>
              <w:rPr>
                <w:sz w:val="20"/>
                <w:szCs w:val="20"/>
                <w:lang w:val="en-US"/>
              </w:rPr>
            </w:pPr>
            <w:r w:rsidRPr="00BA5143">
              <w:rPr>
                <w:sz w:val="20"/>
                <w:szCs w:val="20"/>
                <w:lang w:val="en-US"/>
              </w:rPr>
              <w:t>8 151</w:t>
            </w:r>
          </w:p>
        </w:tc>
        <w:tc>
          <w:tcPr>
            <w:tcW w:w="1260" w:type="dxa"/>
            <w:tcBorders>
              <w:top w:val="nil"/>
              <w:left w:val="single" w:sz="4" w:space="0" w:color="auto"/>
              <w:bottom w:val="single" w:sz="4" w:space="0" w:color="000000"/>
              <w:right w:val="single" w:sz="8" w:space="0" w:color="auto"/>
            </w:tcBorders>
            <w:vAlign w:val="bottom"/>
            <w:hideMark/>
          </w:tcPr>
          <w:p w:rsidR="00F22C27" w:rsidRPr="00BA5143" w:rsidRDefault="00F22C27">
            <w:pPr>
              <w:jc w:val="right"/>
              <w:rPr>
                <w:sz w:val="20"/>
                <w:szCs w:val="20"/>
                <w:lang w:val="en-US"/>
              </w:rPr>
            </w:pPr>
            <w:r w:rsidRPr="00BA5143">
              <w:rPr>
                <w:sz w:val="20"/>
                <w:szCs w:val="20"/>
                <w:lang w:val="en-US"/>
              </w:rPr>
              <w:t>(1 412)</w:t>
            </w:r>
          </w:p>
        </w:tc>
      </w:tr>
      <w:tr w:rsidR="00F22C27" w:rsidRPr="00BA5143" w:rsidTr="00F22C27">
        <w:trPr>
          <w:trHeight w:val="164"/>
        </w:trPr>
        <w:tc>
          <w:tcPr>
            <w:tcW w:w="952" w:type="dxa"/>
            <w:tcBorders>
              <w:top w:val="nil"/>
              <w:left w:val="single" w:sz="8" w:space="0" w:color="auto"/>
              <w:bottom w:val="single" w:sz="4" w:space="0" w:color="000000"/>
              <w:right w:val="single" w:sz="4" w:space="0" w:color="000000"/>
            </w:tcBorders>
            <w:vAlign w:val="center"/>
            <w:hideMark/>
          </w:tcPr>
          <w:p w:rsidR="00F22C27" w:rsidRPr="00BA5143" w:rsidRDefault="00F22C27">
            <w:pPr>
              <w:jc w:val="center"/>
              <w:rPr>
                <w:sz w:val="20"/>
                <w:szCs w:val="20"/>
                <w:lang w:val="en-US"/>
              </w:rPr>
            </w:pPr>
            <w:r w:rsidRPr="00BA5143">
              <w:rPr>
                <w:sz w:val="20"/>
                <w:szCs w:val="20"/>
                <w:lang w:val="en-US"/>
              </w:rPr>
              <w:t>3 </w:t>
            </w:r>
          </w:p>
        </w:tc>
        <w:tc>
          <w:tcPr>
            <w:tcW w:w="5867" w:type="dxa"/>
            <w:tcBorders>
              <w:top w:val="nil"/>
              <w:left w:val="nil"/>
              <w:bottom w:val="single" w:sz="4" w:space="0" w:color="000000"/>
              <w:right w:val="single" w:sz="4" w:space="0" w:color="000000"/>
            </w:tcBorders>
            <w:hideMark/>
          </w:tcPr>
          <w:p w:rsidR="00F22C27" w:rsidRPr="00BA5143" w:rsidRDefault="00F22C27">
            <w:pPr>
              <w:rPr>
                <w:sz w:val="20"/>
                <w:szCs w:val="20"/>
                <w:lang w:val="en-US"/>
              </w:rPr>
            </w:pPr>
            <w:r w:rsidRPr="00BA5143">
              <w:rPr>
                <w:sz w:val="20"/>
                <w:szCs w:val="20"/>
                <w:lang w:val="en-US"/>
              </w:rPr>
              <w:t>Average annual number of ordinary shares in circulation (thousand pieces)</w:t>
            </w:r>
          </w:p>
        </w:tc>
        <w:tc>
          <w:tcPr>
            <w:tcW w:w="1215" w:type="dxa"/>
            <w:tcBorders>
              <w:top w:val="single" w:sz="4" w:space="0" w:color="auto"/>
              <w:left w:val="nil"/>
              <w:bottom w:val="single" w:sz="4" w:space="0" w:color="000000"/>
              <w:right w:val="single" w:sz="4" w:space="0" w:color="000000"/>
            </w:tcBorders>
            <w:vAlign w:val="bottom"/>
            <w:hideMark/>
          </w:tcPr>
          <w:p w:rsidR="00F22C27" w:rsidRPr="00BA5143" w:rsidRDefault="00F22C27">
            <w:pPr>
              <w:jc w:val="right"/>
              <w:rPr>
                <w:sz w:val="20"/>
                <w:szCs w:val="20"/>
                <w:lang w:val="en-US"/>
              </w:rPr>
            </w:pPr>
            <w:r w:rsidRPr="00BA5143">
              <w:rPr>
                <w:sz w:val="20"/>
                <w:szCs w:val="20"/>
                <w:lang w:val="en-US"/>
              </w:rPr>
              <w:t xml:space="preserve">488 </w:t>
            </w:r>
          </w:p>
        </w:tc>
        <w:tc>
          <w:tcPr>
            <w:tcW w:w="1260" w:type="dxa"/>
            <w:tcBorders>
              <w:top w:val="nil"/>
              <w:left w:val="nil"/>
              <w:bottom w:val="single" w:sz="4" w:space="0" w:color="000000"/>
              <w:right w:val="single" w:sz="8" w:space="0" w:color="auto"/>
            </w:tcBorders>
            <w:vAlign w:val="bottom"/>
            <w:hideMark/>
          </w:tcPr>
          <w:p w:rsidR="00F22C27" w:rsidRPr="00BA5143" w:rsidRDefault="00F22C27">
            <w:pPr>
              <w:jc w:val="right"/>
              <w:rPr>
                <w:sz w:val="20"/>
                <w:szCs w:val="20"/>
                <w:lang w:val="en-US"/>
              </w:rPr>
            </w:pPr>
            <w:r w:rsidRPr="00BA5143">
              <w:rPr>
                <w:sz w:val="20"/>
                <w:szCs w:val="20"/>
                <w:lang w:val="en-US"/>
              </w:rPr>
              <w:t xml:space="preserve">265 </w:t>
            </w:r>
          </w:p>
        </w:tc>
      </w:tr>
      <w:tr w:rsidR="00F22C27" w:rsidRPr="00BA5143" w:rsidTr="00F22C27">
        <w:trPr>
          <w:trHeight w:val="164"/>
        </w:trPr>
        <w:tc>
          <w:tcPr>
            <w:tcW w:w="952" w:type="dxa"/>
            <w:tcBorders>
              <w:top w:val="nil"/>
              <w:left w:val="single" w:sz="8" w:space="0" w:color="auto"/>
              <w:bottom w:val="single" w:sz="4" w:space="0" w:color="000000"/>
              <w:right w:val="single" w:sz="4" w:space="0" w:color="000000"/>
            </w:tcBorders>
            <w:vAlign w:val="center"/>
            <w:hideMark/>
          </w:tcPr>
          <w:p w:rsidR="00F22C27" w:rsidRPr="00BA5143" w:rsidRDefault="00F22C27">
            <w:pPr>
              <w:jc w:val="center"/>
              <w:rPr>
                <w:sz w:val="20"/>
                <w:szCs w:val="20"/>
                <w:lang w:val="en-US"/>
              </w:rPr>
            </w:pPr>
            <w:r w:rsidRPr="00BA5143">
              <w:rPr>
                <w:sz w:val="20"/>
                <w:szCs w:val="20"/>
                <w:lang w:val="en-US"/>
              </w:rPr>
              <w:t>4 </w:t>
            </w:r>
          </w:p>
        </w:tc>
        <w:tc>
          <w:tcPr>
            <w:tcW w:w="5867" w:type="dxa"/>
            <w:tcBorders>
              <w:top w:val="nil"/>
              <w:left w:val="nil"/>
              <w:bottom w:val="single" w:sz="4" w:space="0" w:color="000000"/>
              <w:right w:val="single" w:sz="4" w:space="0" w:color="000000"/>
            </w:tcBorders>
            <w:hideMark/>
          </w:tcPr>
          <w:p w:rsidR="00F22C27" w:rsidRPr="00BA5143" w:rsidRDefault="00F22C27">
            <w:pPr>
              <w:rPr>
                <w:sz w:val="20"/>
                <w:szCs w:val="20"/>
                <w:lang w:val="en-US"/>
              </w:rPr>
            </w:pPr>
            <w:r w:rsidRPr="00BA5143">
              <w:rPr>
                <w:sz w:val="20"/>
                <w:szCs w:val="20"/>
                <w:lang w:val="en-US"/>
              </w:rPr>
              <w:t>Net and adjusted profit / (loss) on ordinary shares, UAH.</w:t>
            </w:r>
          </w:p>
        </w:tc>
        <w:tc>
          <w:tcPr>
            <w:tcW w:w="1215" w:type="dxa"/>
            <w:tcBorders>
              <w:top w:val="nil"/>
              <w:left w:val="nil"/>
              <w:bottom w:val="single" w:sz="4" w:space="0" w:color="000000"/>
              <w:right w:val="single" w:sz="4" w:space="0" w:color="000000"/>
            </w:tcBorders>
            <w:vAlign w:val="bottom"/>
            <w:hideMark/>
          </w:tcPr>
          <w:p w:rsidR="00F22C27" w:rsidRPr="00BA5143" w:rsidRDefault="00F22C27">
            <w:pPr>
              <w:jc w:val="right"/>
              <w:rPr>
                <w:sz w:val="20"/>
                <w:szCs w:val="20"/>
                <w:lang w:val="en-US"/>
              </w:rPr>
            </w:pPr>
            <w:r w:rsidRPr="00BA5143">
              <w:rPr>
                <w:sz w:val="20"/>
                <w:szCs w:val="20"/>
                <w:lang w:val="en-US"/>
              </w:rPr>
              <w:t>16,70</w:t>
            </w:r>
          </w:p>
        </w:tc>
        <w:tc>
          <w:tcPr>
            <w:tcW w:w="1260" w:type="dxa"/>
            <w:tcBorders>
              <w:top w:val="nil"/>
              <w:left w:val="nil"/>
              <w:bottom w:val="single" w:sz="4" w:space="0" w:color="000000"/>
              <w:right w:val="single" w:sz="8" w:space="0" w:color="auto"/>
            </w:tcBorders>
            <w:vAlign w:val="bottom"/>
            <w:hideMark/>
          </w:tcPr>
          <w:p w:rsidR="00F22C27" w:rsidRPr="00BA5143" w:rsidRDefault="00F22C27">
            <w:pPr>
              <w:jc w:val="right"/>
              <w:rPr>
                <w:sz w:val="20"/>
                <w:szCs w:val="20"/>
                <w:lang w:val="en-US"/>
              </w:rPr>
            </w:pPr>
            <w:r w:rsidRPr="00BA5143">
              <w:rPr>
                <w:sz w:val="20"/>
                <w:szCs w:val="20"/>
                <w:lang w:val="en-US"/>
              </w:rPr>
              <w:t>(5,33)</w:t>
            </w:r>
          </w:p>
        </w:tc>
      </w:tr>
    </w:tbl>
    <w:p w:rsidR="00350EC0" w:rsidRPr="00BA5143" w:rsidRDefault="00350EC0" w:rsidP="003C6155">
      <w:pPr>
        <w:spacing w:line="240" w:lineRule="exact"/>
        <w:jc w:val="right"/>
        <w:rPr>
          <w:lang w:val="en-US"/>
        </w:rPr>
      </w:pPr>
    </w:p>
    <w:p w:rsidR="00655AB0" w:rsidRPr="00BA5143" w:rsidRDefault="00655AB0" w:rsidP="00655AB0">
      <w:pPr>
        <w:spacing w:line="240" w:lineRule="exact"/>
        <w:rPr>
          <w:b/>
          <w:lang w:val="en-US"/>
        </w:rPr>
      </w:pPr>
      <w:r w:rsidRPr="00BA5143">
        <w:rPr>
          <w:b/>
          <w:lang w:val="en-US"/>
        </w:rPr>
        <w:t xml:space="preserve">Table 23.2. Calculation of profit / (loss) owned by owners of simple and preferred shares of the bank </w:t>
      </w:r>
    </w:p>
    <w:p w:rsidR="00655AB0" w:rsidRPr="00BA5143" w:rsidRDefault="00655AB0" w:rsidP="00655AB0">
      <w:pPr>
        <w:spacing w:line="240" w:lineRule="exact"/>
        <w:jc w:val="right"/>
        <w:rPr>
          <w:b/>
          <w:lang w:val="en-US"/>
        </w:rPr>
      </w:pPr>
      <w:r w:rsidRPr="00BA5143">
        <w:rPr>
          <w:lang w:val="en-US"/>
        </w:rPr>
        <w:t>(ths. UAH.)</w:t>
      </w:r>
    </w:p>
    <w:tbl>
      <w:tblPr>
        <w:tblW w:w="9355" w:type="dxa"/>
        <w:tblInd w:w="93" w:type="dxa"/>
        <w:tblLook w:val="04A0"/>
      </w:tblPr>
      <w:tblGrid>
        <w:gridCol w:w="953"/>
        <w:gridCol w:w="5725"/>
        <w:gridCol w:w="1417"/>
        <w:gridCol w:w="1260"/>
      </w:tblGrid>
      <w:tr w:rsidR="00655AB0" w:rsidRPr="00BA5143" w:rsidTr="00655AB0">
        <w:trPr>
          <w:trHeight w:val="255"/>
        </w:trPr>
        <w:tc>
          <w:tcPr>
            <w:tcW w:w="953" w:type="dxa"/>
            <w:tcBorders>
              <w:top w:val="single" w:sz="8" w:space="0" w:color="auto"/>
              <w:left w:val="single" w:sz="8" w:space="0" w:color="auto"/>
              <w:bottom w:val="single" w:sz="4" w:space="0" w:color="000000"/>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Line </w:t>
            </w:r>
          </w:p>
        </w:tc>
        <w:tc>
          <w:tcPr>
            <w:tcW w:w="5725" w:type="dxa"/>
            <w:tcBorders>
              <w:top w:val="single" w:sz="8" w:space="0" w:color="auto"/>
              <w:left w:val="nil"/>
              <w:bottom w:val="single" w:sz="4" w:space="0" w:color="000000"/>
              <w:right w:val="single" w:sz="4" w:space="0" w:color="000000"/>
            </w:tcBorders>
            <w:vAlign w:val="center"/>
            <w:hideMark/>
          </w:tcPr>
          <w:p w:rsidR="00655AB0" w:rsidRPr="00BA5143" w:rsidRDefault="00655AB0">
            <w:pPr>
              <w:spacing w:line="200" w:lineRule="exact"/>
              <w:jc w:val="center"/>
              <w:rPr>
                <w:sz w:val="20"/>
                <w:lang w:val="en-US"/>
              </w:rPr>
            </w:pPr>
            <w:r w:rsidRPr="00BA5143">
              <w:rPr>
                <w:sz w:val="20"/>
                <w:lang w:val="en-US"/>
              </w:rPr>
              <w:t>Item</w:t>
            </w:r>
          </w:p>
        </w:tc>
        <w:tc>
          <w:tcPr>
            <w:tcW w:w="1417" w:type="dxa"/>
            <w:tcBorders>
              <w:top w:val="single" w:sz="8" w:space="0" w:color="auto"/>
              <w:left w:val="nil"/>
              <w:bottom w:val="single" w:sz="4" w:space="0" w:color="000000"/>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2018</w:t>
            </w:r>
          </w:p>
        </w:tc>
        <w:tc>
          <w:tcPr>
            <w:tcW w:w="1260" w:type="dxa"/>
            <w:tcBorders>
              <w:top w:val="single" w:sz="8" w:space="0" w:color="auto"/>
              <w:left w:val="nil"/>
              <w:bottom w:val="single" w:sz="4" w:space="0" w:color="000000"/>
              <w:right w:val="single" w:sz="8" w:space="0" w:color="auto"/>
            </w:tcBorders>
            <w:vAlign w:val="bottom"/>
            <w:hideMark/>
          </w:tcPr>
          <w:p w:rsidR="00655AB0" w:rsidRPr="00BA5143" w:rsidRDefault="00655AB0">
            <w:pPr>
              <w:jc w:val="center"/>
              <w:rPr>
                <w:sz w:val="20"/>
                <w:szCs w:val="20"/>
                <w:lang w:val="en-US"/>
              </w:rPr>
            </w:pPr>
            <w:r w:rsidRPr="00BA5143">
              <w:rPr>
                <w:sz w:val="20"/>
                <w:szCs w:val="20"/>
                <w:lang w:val="en-US"/>
              </w:rPr>
              <w:t>2017</w:t>
            </w:r>
          </w:p>
        </w:tc>
      </w:tr>
      <w:tr w:rsidR="00655AB0" w:rsidRPr="00BA5143" w:rsidTr="00655AB0">
        <w:trPr>
          <w:trHeight w:val="255"/>
        </w:trPr>
        <w:tc>
          <w:tcPr>
            <w:tcW w:w="953" w:type="dxa"/>
            <w:tcBorders>
              <w:top w:val="nil"/>
              <w:left w:val="single" w:sz="8" w:space="0" w:color="auto"/>
              <w:bottom w:val="single" w:sz="4" w:space="0" w:color="000000"/>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1 </w:t>
            </w:r>
          </w:p>
        </w:tc>
        <w:tc>
          <w:tcPr>
            <w:tcW w:w="5725" w:type="dxa"/>
            <w:tcBorders>
              <w:top w:val="nil"/>
              <w:left w:val="nil"/>
              <w:bottom w:val="single" w:sz="4" w:space="0" w:color="000000"/>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2 </w:t>
            </w:r>
          </w:p>
        </w:tc>
        <w:tc>
          <w:tcPr>
            <w:tcW w:w="1417" w:type="dxa"/>
            <w:tcBorders>
              <w:top w:val="nil"/>
              <w:left w:val="nil"/>
              <w:bottom w:val="single" w:sz="4" w:space="0" w:color="000000"/>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3 </w:t>
            </w:r>
          </w:p>
        </w:tc>
        <w:tc>
          <w:tcPr>
            <w:tcW w:w="1260" w:type="dxa"/>
            <w:tcBorders>
              <w:top w:val="nil"/>
              <w:left w:val="nil"/>
              <w:bottom w:val="single" w:sz="4" w:space="0" w:color="000000"/>
              <w:right w:val="single" w:sz="8" w:space="0" w:color="auto"/>
            </w:tcBorders>
            <w:vAlign w:val="bottom"/>
            <w:hideMark/>
          </w:tcPr>
          <w:p w:rsidR="00655AB0" w:rsidRPr="00BA5143" w:rsidRDefault="00655AB0">
            <w:pPr>
              <w:jc w:val="center"/>
              <w:rPr>
                <w:sz w:val="20"/>
                <w:szCs w:val="20"/>
                <w:lang w:val="en-US"/>
              </w:rPr>
            </w:pPr>
            <w:r w:rsidRPr="00BA5143">
              <w:rPr>
                <w:sz w:val="20"/>
                <w:szCs w:val="20"/>
                <w:lang w:val="en-US"/>
              </w:rPr>
              <w:t>4</w:t>
            </w:r>
          </w:p>
        </w:tc>
      </w:tr>
      <w:tr w:rsidR="00655AB0" w:rsidRPr="00BA5143" w:rsidTr="00655AB0">
        <w:trPr>
          <w:trHeight w:val="181"/>
        </w:trPr>
        <w:tc>
          <w:tcPr>
            <w:tcW w:w="953" w:type="dxa"/>
            <w:tcBorders>
              <w:top w:val="nil"/>
              <w:left w:val="single" w:sz="8" w:space="0" w:color="auto"/>
              <w:bottom w:val="nil"/>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1</w:t>
            </w:r>
          </w:p>
        </w:tc>
        <w:tc>
          <w:tcPr>
            <w:tcW w:w="5725" w:type="dxa"/>
            <w:tcBorders>
              <w:top w:val="nil"/>
              <w:left w:val="nil"/>
              <w:bottom w:val="single" w:sz="4" w:space="0" w:color="000000"/>
              <w:right w:val="single" w:sz="4" w:space="0" w:color="000000"/>
            </w:tcBorders>
            <w:hideMark/>
          </w:tcPr>
          <w:p w:rsidR="00655AB0" w:rsidRPr="00BA5143" w:rsidRDefault="00655AB0">
            <w:pPr>
              <w:rPr>
                <w:sz w:val="20"/>
                <w:szCs w:val="20"/>
                <w:lang w:val="en-US"/>
              </w:rPr>
            </w:pPr>
            <w:r w:rsidRPr="00BA5143">
              <w:rPr>
                <w:sz w:val="20"/>
                <w:szCs w:val="20"/>
                <w:lang w:val="en-US"/>
              </w:rPr>
              <w:t>Profit / (loss) for the year owned by the owners of the bank</w:t>
            </w:r>
          </w:p>
        </w:tc>
        <w:tc>
          <w:tcPr>
            <w:tcW w:w="1417" w:type="dxa"/>
            <w:tcBorders>
              <w:top w:val="nil"/>
              <w:left w:val="nil"/>
              <w:bottom w:val="nil"/>
              <w:right w:val="single" w:sz="4" w:space="0" w:color="000000"/>
            </w:tcBorders>
            <w:vAlign w:val="bottom"/>
            <w:hideMark/>
          </w:tcPr>
          <w:p w:rsidR="00655AB0" w:rsidRPr="00BA5143" w:rsidRDefault="00655AB0">
            <w:pPr>
              <w:jc w:val="right"/>
              <w:rPr>
                <w:sz w:val="20"/>
                <w:szCs w:val="20"/>
                <w:lang w:val="en-US"/>
              </w:rPr>
            </w:pPr>
            <w:r w:rsidRPr="00BA5143">
              <w:rPr>
                <w:sz w:val="20"/>
                <w:szCs w:val="20"/>
                <w:lang w:val="en-US"/>
              </w:rPr>
              <w:t>8 151</w:t>
            </w:r>
          </w:p>
        </w:tc>
        <w:tc>
          <w:tcPr>
            <w:tcW w:w="1260" w:type="dxa"/>
            <w:tcBorders>
              <w:top w:val="nil"/>
              <w:left w:val="nil"/>
              <w:bottom w:val="single" w:sz="4" w:space="0" w:color="000000"/>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(1 412)</w:t>
            </w:r>
          </w:p>
        </w:tc>
      </w:tr>
      <w:tr w:rsidR="00655AB0" w:rsidRPr="00BA5143" w:rsidTr="00655AB0">
        <w:trPr>
          <w:trHeight w:val="181"/>
        </w:trPr>
        <w:tc>
          <w:tcPr>
            <w:tcW w:w="953" w:type="dxa"/>
            <w:tcBorders>
              <w:top w:val="single" w:sz="4" w:space="0" w:color="000000"/>
              <w:left w:val="single" w:sz="8" w:space="0" w:color="auto"/>
              <w:bottom w:val="nil"/>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2</w:t>
            </w:r>
          </w:p>
        </w:tc>
        <w:tc>
          <w:tcPr>
            <w:tcW w:w="5725" w:type="dxa"/>
            <w:tcBorders>
              <w:top w:val="single" w:sz="4" w:space="0" w:color="000000"/>
              <w:left w:val="nil"/>
              <w:bottom w:val="nil"/>
              <w:right w:val="single" w:sz="4" w:space="0" w:color="000000"/>
            </w:tcBorders>
            <w:hideMark/>
          </w:tcPr>
          <w:p w:rsidR="00655AB0" w:rsidRPr="00BA5143" w:rsidRDefault="00655AB0">
            <w:pPr>
              <w:rPr>
                <w:sz w:val="20"/>
                <w:szCs w:val="20"/>
                <w:lang w:val="en-US"/>
              </w:rPr>
            </w:pPr>
            <w:r w:rsidRPr="00BA5143">
              <w:rPr>
                <w:sz w:val="20"/>
                <w:szCs w:val="20"/>
                <w:lang w:val="en-US"/>
              </w:rPr>
              <w:t>Retained profit / (loss) per year</w:t>
            </w:r>
          </w:p>
        </w:tc>
        <w:tc>
          <w:tcPr>
            <w:tcW w:w="1417" w:type="dxa"/>
            <w:tcBorders>
              <w:top w:val="single" w:sz="4" w:space="0" w:color="000000"/>
              <w:left w:val="nil"/>
              <w:bottom w:val="nil"/>
              <w:right w:val="single" w:sz="4" w:space="0" w:color="000000"/>
            </w:tcBorders>
            <w:hideMark/>
          </w:tcPr>
          <w:p w:rsidR="00655AB0" w:rsidRPr="00BA5143" w:rsidRDefault="00655AB0">
            <w:pPr>
              <w:jc w:val="right"/>
              <w:rPr>
                <w:lang w:val="en-US"/>
              </w:rPr>
            </w:pPr>
            <w:r w:rsidRPr="00BA5143">
              <w:rPr>
                <w:sz w:val="20"/>
                <w:szCs w:val="20"/>
                <w:lang w:val="en-US"/>
              </w:rPr>
              <w:t>8 151</w:t>
            </w:r>
          </w:p>
        </w:tc>
        <w:tc>
          <w:tcPr>
            <w:tcW w:w="1260" w:type="dxa"/>
            <w:tcBorders>
              <w:top w:val="single" w:sz="4" w:space="0" w:color="000000"/>
              <w:left w:val="nil"/>
              <w:bottom w:val="single" w:sz="4" w:space="0" w:color="000000"/>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(1 412)</w:t>
            </w:r>
          </w:p>
        </w:tc>
      </w:tr>
      <w:tr w:rsidR="00655AB0" w:rsidRPr="00BA5143" w:rsidTr="00655AB0">
        <w:trPr>
          <w:trHeight w:val="181"/>
        </w:trPr>
        <w:tc>
          <w:tcPr>
            <w:tcW w:w="953" w:type="dxa"/>
            <w:tcBorders>
              <w:top w:val="single" w:sz="4" w:space="0" w:color="000000"/>
              <w:left w:val="single" w:sz="8" w:space="0" w:color="auto"/>
              <w:bottom w:val="nil"/>
              <w:right w:val="single" w:sz="4" w:space="0" w:color="000000"/>
            </w:tcBorders>
            <w:vAlign w:val="bottom"/>
            <w:hideMark/>
          </w:tcPr>
          <w:p w:rsidR="00655AB0" w:rsidRPr="00BA5143" w:rsidRDefault="00655AB0">
            <w:pPr>
              <w:jc w:val="center"/>
              <w:rPr>
                <w:sz w:val="20"/>
                <w:szCs w:val="20"/>
                <w:lang w:val="en-US"/>
              </w:rPr>
            </w:pPr>
            <w:r w:rsidRPr="00BA5143">
              <w:rPr>
                <w:sz w:val="20"/>
                <w:szCs w:val="20"/>
                <w:lang w:val="en-US"/>
              </w:rPr>
              <w:t>3</w:t>
            </w:r>
          </w:p>
        </w:tc>
        <w:tc>
          <w:tcPr>
            <w:tcW w:w="5725" w:type="dxa"/>
            <w:tcBorders>
              <w:top w:val="single" w:sz="4" w:space="0" w:color="000000"/>
              <w:left w:val="nil"/>
              <w:bottom w:val="nil"/>
              <w:right w:val="single" w:sz="4" w:space="0" w:color="000000"/>
            </w:tcBorders>
            <w:hideMark/>
          </w:tcPr>
          <w:p w:rsidR="00655AB0" w:rsidRPr="00BA5143" w:rsidRDefault="00655AB0">
            <w:pPr>
              <w:rPr>
                <w:sz w:val="20"/>
                <w:szCs w:val="20"/>
                <w:lang w:val="en-US"/>
              </w:rPr>
            </w:pPr>
            <w:r w:rsidRPr="00BA5143">
              <w:rPr>
                <w:sz w:val="20"/>
                <w:szCs w:val="20"/>
                <w:lang w:val="en-US"/>
              </w:rPr>
              <w:t>Retained profit / (loss) for the year owned by the owners of ordinary shares, depending on the conditions of the shares</w:t>
            </w:r>
          </w:p>
        </w:tc>
        <w:tc>
          <w:tcPr>
            <w:tcW w:w="1417" w:type="dxa"/>
            <w:tcBorders>
              <w:top w:val="single" w:sz="4" w:space="0" w:color="000000"/>
              <w:left w:val="nil"/>
              <w:bottom w:val="nil"/>
              <w:right w:val="single" w:sz="4" w:space="0" w:color="000000"/>
            </w:tcBorders>
          </w:tcPr>
          <w:p w:rsidR="00655AB0" w:rsidRPr="00BA5143" w:rsidRDefault="00655AB0">
            <w:pPr>
              <w:jc w:val="right"/>
              <w:rPr>
                <w:sz w:val="20"/>
                <w:szCs w:val="20"/>
                <w:lang w:val="en-US"/>
              </w:rPr>
            </w:pPr>
          </w:p>
          <w:p w:rsidR="00655AB0" w:rsidRPr="00BA5143" w:rsidRDefault="00655AB0">
            <w:pPr>
              <w:jc w:val="right"/>
              <w:rPr>
                <w:lang w:val="en-US"/>
              </w:rPr>
            </w:pPr>
            <w:r w:rsidRPr="00BA5143">
              <w:rPr>
                <w:sz w:val="20"/>
                <w:szCs w:val="20"/>
                <w:lang w:val="en-US"/>
              </w:rPr>
              <w:t>8 151</w:t>
            </w:r>
          </w:p>
        </w:tc>
        <w:tc>
          <w:tcPr>
            <w:tcW w:w="1260" w:type="dxa"/>
            <w:tcBorders>
              <w:top w:val="single" w:sz="4" w:space="0" w:color="000000"/>
              <w:left w:val="nil"/>
              <w:bottom w:val="single" w:sz="4" w:space="0" w:color="000000"/>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(1 412)</w:t>
            </w:r>
          </w:p>
        </w:tc>
      </w:tr>
      <w:tr w:rsidR="00655AB0" w:rsidRPr="00BA5143" w:rsidTr="00655AB0">
        <w:trPr>
          <w:trHeight w:val="181"/>
        </w:trPr>
        <w:tc>
          <w:tcPr>
            <w:tcW w:w="953" w:type="dxa"/>
            <w:tcBorders>
              <w:top w:val="single" w:sz="4" w:space="0" w:color="000000"/>
              <w:left w:val="single" w:sz="8" w:space="0" w:color="auto"/>
              <w:bottom w:val="single" w:sz="8" w:space="0" w:color="auto"/>
              <w:right w:val="single" w:sz="4" w:space="0" w:color="000000"/>
            </w:tcBorders>
            <w:vAlign w:val="bottom"/>
          </w:tcPr>
          <w:p w:rsidR="00655AB0" w:rsidRPr="00BA5143" w:rsidRDefault="00655AB0">
            <w:pPr>
              <w:jc w:val="center"/>
              <w:rPr>
                <w:sz w:val="20"/>
                <w:szCs w:val="20"/>
                <w:lang w:val="en-US"/>
              </w:rPr>
            </w:pPr>
          </w:p>
        </w:tc>
        <w:tc>
          <w:tcPr>
            <w:tcW w:w="5725" w:type="dxa"/>
            <w:tcBorders>
              <w:top w:val="single" w:sz="4" w:space="0" w:color="000000"/>
              <w:left w:val="nil"/>
              <w:bottom w:val="single" w:sz="8" w:space="0" w:color="auto"/>
              <w:right w:val="single" w:sz="4" w:space="0" w:color="000000"/>
            </w:tcBorders>
            <w:hideMark/>
          </w:tcPr>
          <w:p w:rsidR="00655AB0" w:rsidRPr="00BA5143" w:rsidRDefault="00655AB0">
            <w:pPr>
              <w:rPr>
                <w:sz w:val="20"/>
                <w:szCs w:val="20"/>
                <w:lang w:val="en-US"/>
              </w:rPr>
            </w:pPr>
            <w:r w:rsidRPr="00BA5143">
              <w:rPr>
                <w:sz w:val="20"/>
                <w:szCs w:val="20"/>
                <w:lang w:val="en-US"/>
              </w:rPr>
              <w:t>Profit / (loss) for the year owned by the owners of ordinary shares of the bank</w:t>
            </w:r>
          </w:p>
        </w:tc>
        <w:tc>
          <w:tcPr>
            <w:tcW w:w="1417" w:type="dxa"/>
            <w:tcBorders>
              <w:top w:val="single" w:sz="4" w:space="0" w:color="000000"/>
              <w:left w:val="nil"/>
              <w:bottom w:val="single" w:sz="8" w:space="0" w:color="auto"/>
              <w:right w:val="single" w:sz="4" w:space="0" w:color="000000"/>
            </w:tcBorders>
          </w:tcPr>
          <w:p w:rsidR="00655AB0" w:rsidRPr="00BA5143" w:rsidRDefault="00655AB0">
            <w:pPr>
              <w:jc w:val="right"/>
              <w:rPr>
                <w:sz w:val="20"/>
                <w:szCs w:val="20"/>
                <w:lang w:val="en-US"/>
              </w:rPr>
            </w:pPr>
          </w:p>
          <w:p w:rsidR="00655AB0" w:rsidRPr="00BA5143" w:rsidRDefault="00655AB0">
            <w:pPr>
              <w:jc w:val="right"/>
              <w:rPr>
                <w:lang w:val="en-US"/>
              </w:rPr>
            </w:pPr>
            <w:r w:rsidRPr="00BA5143">
              <w:rPr>
                <w:sz w:val="20"/>
                <w:szCs w:val="20"/>
                <w:lang w:val="en-US"/>
              </w:rPr>
              <w:t>8 151</w:t>
            </w:r>
          </w:p>
        </w:tc>
        <w:tc>
          <w:tcPr>
            <w:tcW w:w="1260" w:type="dxa"/>
            <w:tcBorders>
              <w:top w:val="single" w:sz="4" w:space="0" w:color="000000"/>
              <w:left w:val="nil"/>
              <w:bottom w:val="single" w:sz="8"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(1 412)</w:t>
            </w:r>
          </w:p>
        </w:tc>
      </w:tr>
    </w:tbl>
    <w:p w:rsidR="00A24F29" w:rsidRPr="00BA5143" w:rsidRDefault="00A24F29" w:rsidP="003C6155">
      <w:pPr>
        <w:spacing w:line="240" w:lineRule="exact"/>
        <w:jc w:val="right"/>
        <w:rPr>
          <w:highlight w:val="yellow"/>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D36AB2" w:rsidRDefault="00D36AB2" w:rsidP="00655AB0">
      <w:pPr>
        <w:ind w:left="540"/>
        <w:rPr>
          <w:b/>
          <w:lang w:val="en-US"/>
        </w:rPr>
      </w:pPr>
    </w:p>
    <w:p w:rsidR="00655AB0" w:rsidRPr="00BA5143" w:rsidRDefault="00655AB0" w:rsidP="00655AB0">
      <w:pPr>
        <w:ind w:left="540"/>
        <w:rPr>
          <w:b/>
          <w:lang w:val="en-US"/>
        </w:rPr>
      </w:pPr>
      <w:proofErr w:type="gramStart"/>
      <w:r w:rsidRPr="00BA5143">
        <w:rPr>
          <w:b/>
          <w:lang w:val="en-US"/>
        </w:rPr>
        <w:lastRenderedPageBreak/>
        <w:t>NOTE 24.</w:t>
      </w:r>
      <w:proofErr w:type="gramEnd"/>
      <w:r w:rsidRPr="00BA5143">
        <w:rPr>
          <w:b/>
          <w:lang w:val="en-US"/>
        </w:rPr>
        <w:t xml:space="preserve"> OPERATING SEGMENTS</w:t>
      </w:r>
    </w:p>
    <w:p w:rsidR="00655AB0" w:rsidRPr="00BA5143" w:rsidRDefault="00655AB0" w:rsidP="00655AB0">
      <w:pPr>
        <w:ind w:left="540"/>
        <w:rPr>
          <w:b/>
          <w:lang w:val="en-US"/>
        </w:rPr>
      </w:pPr>
    </w:p>
    <w:p w:rsidR="00655AB0" w:rsidRPr="00BA5143" w:rsidRDefault="00655AB0" w:rsidP="00655AB0">
      <w:pPr>
        <w:ind w:left="540"/>
        <w:rPr>
          <w:b/>
          <w:lang w:val="en-US"/>
        </w:rPr>
      </w:pPr>
      <w:r w:rsidRPr="00BA5143">
        <w:rPr>
          <w:b/>
          <w:lang w:val="en-US"/>
        </w:rPr>
        <w:t xml:space="preserve">Table 24.1. </w:t>
      </w:r>
      <w:r w:rsidR="00D371BE" w:rsidRPr="00BA5143">
        <w:rPr>
          <w:b/>
          <w:lang w:val="en-US"/>
        </w:rPr>
        <w:t>Income</w:t>
      </w:r>
      <w:r w:rsidRPr="00BA5143">
        <w:rPr>
          <w:b/>
          <w:lang w:val="en-US"/>
        </w:rPr>
        <w:t xml:space="preserve">, expenses and results of reporting segments for 2018 </w:t>
      </w:r>
    </w:p>
    <w:p w:rsidR="00655AB0" w:rsidRPr="00BA5143" w:rsidRDefault="00655AB0" w:rsidP="00655AB0">
      <w:pPr>
        <w:ind w:left="540"/>
        <w:jc w:val="right"/>
        <w:rPr>
          <w:bCs/>
          <w:sz w:val="20"/>
          <w:lang w:val="en-US" w:eastAsia="uk-UA"/>
        </w:rPr>
      </w:pPr>
      <w:r w:rsidRPr="00BA5143">
        <w:rPr>
          <w:lang w:val="en-US"/>
        </w:rPr>
        <w:t>(ths. UAH.)</w:t>
      </w:r>
      <w:r w:rsidRPr="00BA5143">
        <w:rPr>
          <w:bCs/>
          <w:sz w:val="20"/>
          <w:lang w:val="en-US" w:eastAsia="uk-UA"/>
        </w:rPr>
        <w:t xml:space="preserve">   </w:t>
      </w:r>
    </w:p>
    <w:tbl>
      <w:tblPr>
        <w:tblW w:w="9300" w:type="dxa"/>
        <w:tblInd w:w="93" w:type="dxa"/>
        <w:tblLayout w:type="fixed"/>
        <w:tblLook w:val="04A0"/>
      </w:tblPr>
      <w:tblGrid>
        <w:gridCol w:w="820"/>
        <w:gridCol w:w="4017"/>
        <w:gridCol w:w="1115"/>
        <w:gridCol w:w="1116"/>
        <w:gridCol w:w="1118"/>
        <w:gridCol w:w="1114"/>
      </w:tblGrid>
      <w:tr w:rsidR="00655AB0" w:rsidRPr="00BA5143" w:rsidTr="00655AB0">
        <w:trPr>
          <w:trHeight w:val="255"/>
        </w:trPr>
        <w:tc>
          <w:tcPr>
            <w:tcW w:w="819" w:type="dxa"/>
            <w:vMerge w:val="restart"/>
            <w:tcBorders>
              <w:top w:val="single" w:sz="8" w:space="0" w:color="auto"/>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Line </w:t>
            </w:r>
          </w:p>
        </w:tc>
        <w:tc>
          <w:tcPr>
            <w:tcW w:w="4016" w:type="dxa"/>
            <w:vMerge w:val="restart"/>
            <w:tcBorders>
              <w:top w:val="single" w:sz="8" w:space="0" w:color="auto"/>
              <w:left w:val="single" w:sz="4" w:space="0" w:color="auto"/>
              <w:bottom w:val="single" w:sz="4" w:space="0" w:color="auto"/>
              <w:right w:val="single" w:sz="4" w:space="0" w:color="auto"/>
            </w:tcBorders>
            <w:vAlign w:val="center"/>
            <w:hideMark/>
          </w:tcPr>
          <w:p w:rsidR="00655AB0" w:rsidRPr="00BA5143" w:rsidRDefault="00655AB0">
            <w:pPr>
              <w:spacing w:line="200" w:lineRule="exact"/>
              <w:jc w:val="center"/>
              <w:rPr>
                <w:sz w:val="20"/>
                <w:lang w:val="en-US"/>
              </w:rPr>
            </w:pPr>
            <w:r w:rsidRPr="00BA5143">
              <w:rPr>
                <w:sz w:val="20"/>
                <w:lang w:val="en-US"/>
              </w:rPr>
              <w:t>Item</w:t>
            </w:r>
          </w:p>
        </w:tc>
        <w:tc>
          <w:tcPr>
            <w:tcW w:w="3349" w:type="dxa"/>
            <w:gridSpan w:val="3"/>
            <w:tcBorders>
              <w:top w:val="single" w:sz="8" w:space="0" w:color="auto"/>
              <w:left w:val="nil"/>
              <w:bottom w:val="single" w:sz="4" w:space="0" w:color="auto"/>
              <w:right w:val="single" w:sz="4" w:space="0" w:color="auto"/>
            </w:tcBorders>
            <w:vAlign w:val="center"/>
            <w:hideMark/>
          </w:tcPr>
          <w:p w:rsidR="00655AB0" w:rsidRPr="00BA5143" w:rsidRDefault="00655AB0">
            <w:pPr>
              <w:jc w:val="center"/>
              <w:rPr>
                <w:sz w:val="20"/>
                <w:szCs w:val="20"/>
                <w:lang w:val="en-US"/>
              </w:rPr>
            </w:pPr>
            <w:r w:rsidRPr="00BA5143">
              <w:rPr>
                <w:sz w:val="20"/>
                <w:szCs w:val="20"/>
                <w:lang w:val="en-US"/>
              </w:rPr>
              <w:t>Name of reporting segments</w:t>
            </w:r>
          </w:p>
        </w:tc>
        <w:tc>
          <w:tcPr>
            <w:tcW w:w="1114" w:type="dxa"/>
            <w:vMerge w:val="restart"/>
            <w:tcBorders>
              <w:top w:val="single" w:sz="8" w:space="0" w:color="auto"/>
              <w:left w:val="single" w:sz="4" w:space="0" w:color="auto"/>
              <w:bottom w:val="single" w:sz="4" w:space="0" w:color="auto"/>
              <w:right w:val="single" w:sz="8" w:space="0" w:color="auto"/>
            </w:tcBorders>
            <w:vAlign w:val="center"/>
          </w:tcPr>
          <w:p w:rsidR="00655AB0" w:rsidRPr="00BA5143" w:rsidRDefault="00655AB0">
            <w:pPr>
              <w:jc w:val="center"/>
              <w:rPr>
                <w:sz w:val="20"/>
                <w:szCs w:val="20"/>
                <w:lang w:val="en-US"/>
              </w:rPr>
            </w:pPr>
            <w:r w:rsidRPr="00BA5143">
              <w:rPr>
                <w:sz w:val="20"/>
                <w:szCs w:val="20"/>
                <w:lang w:val="en-US"/>
              </w:rPr>
              <w:t>Total</w:t>
            </w:r>
          </w:p>
          <w:p w:rsidR="00655AB0" w:rsidRPr="00BA5143" w:rsidRDefault="00655AB0">
            <w:pPr>
              <w:rPr>
                <w:sz w:val="20"/>
                <w:szCs w:val="20"/>
                <w:lang w:val="en-US"/>
              </w:rPr>
            </w:pPr>
          </w:p>
        </w:tc>
      </w:tr>
      <w:tr w:rsidR="00655AB0" w:rsidRPr="00BA5143" w:rsidTr="00655AB0">
        <w:trPr>
          <w:trHeight w:val="765"/>
        </w:trPr>
        <w:tc>
          <w:tcPr>
            <w:tcW w:w="819" w:type="dxa"/>
            <w:vMerge/>
            <w:tcBorders>
              <w:top w:val="single" w:sz="8" w:space="0" w:color="auto"/>
              <w:left w:val="single" w:sz="8" w:space="0" w:color="auto"/>
              <w:bottom w:val="single" w:sz="4" w:space="0" w:color="auto"/>
              <w:right w:val="single" w:sz="4" w:space="0" w:color="auto"/>
            </w:tcBorders>
            <w:vAlign w:val="center"/>
            <w:hideMark/>
          </w:tcPr>
          <w:p w:rsidR="00655AB0" w:rsidRPr="00BA5143" w:rsidRDefault="00655AB0">
            <w:pPr>
              <w:rPr>
                <w:sz w:val="20"/>
                <w:szCs w:val="20"/>
                <w:lang w:val="en-US"/>
              </w:rPr>
            </w:pPr>
          </w:p>
        </w:tc>
        <w:tc>
          <w:tcPr>
            <w:tcW w:w="4016" w:type="dxa"/>
            <w:vMerge/>
            <w:tcBorders>
              <w:top w:val="single" w:sz="8" w:space="0" w:color="auto"/>
              <w:left w:val="single" w:sz="4" w:space="0" w:color="auto"/>
              <w:bottom w:val="single" w:sz="4" w:space="0" w:color="auto"/>
              <w:right w:val="single" w:sz="4" w:space="0" w:color="auto"/>
            </w:tcBorders>
            <w:vAlign w:val="center"/>
            <w:hideMark/>
          </w:tcPr>
          <w:p w:rsidR="00655AB0" w:rsidRPr="00BA5143" w:rsidRDefault="00655AB0">
            <w:pPr>
              <w:rPr>
                <w:sz w:val="20"/>
                <w:lang w:val="en-US"/>
              </w:rPr>
            </w:pPr>
          </w:p>
        </w:tc>
        <w:tc>
          <w:tcPr>
            <w:tcW w:w="1115" w:type="dxa"/>
            <w:tcBorders>
              <w:top w:val="nil"/>
              <w:left w:val="nil"/>
              <w:bottom w:val="single" w:sz="4" w:space="0" w:color="auto"/>
              <w:right w:val="single" w:sz="4" w:space="0" w:color="auto"/>
            </w:tcBorders>
            <w:vAlign w:val="center"/>
            <w:hideMark/>
          </w:tcPr>
          <w:p w:rsidR="00655AB0" w:rsidRPr="00BA5143" w:rsidRDefault="00655AB0">
            <w:pPr>
              <w:jc w:val="center"/>
              <w:rPr>
                <w:sz w:val="20"/>
                <w:szCs w:val="20"/>
                <w:lang w:val="en-US"/>
              </w:rPr>
            </w:pPr>
            <w:r w:rsidRPr="00BA5143">
              <w:rPr>
                <w:sz w:val="20"/>
                <w:szCs w:val="20"/>
                <w:lang w:val="en-US"/>
              </w:rPr>
              <w:t>services to other banks</w:t>
            </w:r>
          </w:p>
        </w:tc>
        <w:tc>
          <w:tcPr>
            <w:tcW w:w="1116" w:type="dxa"/>
            <w:tcBorders>
              <w:top w:val="nil"/>
              <w:left w:val="nil"/>
              <w:bottom w:val="single" w:sz="4" w:space="0" w:color="auto"/>
              <w:right w:val="single" w:sz="4" w:space="0" w:color="auto"/>
            </w:tcBorders>
            <w:vAlign w:val="center"/>
            <w:hideMark/>
          </w:tcPr>
          <w:p w:rsidR="00655AB0" w:rsidRPr="00BA5143" w:rsidRDefault="00655AB0">
            <w:pPr>
              <w:jc w:val="center"/>
              <w:rPr>
                <w:sz w:val="20"/>
                <w:szCs w:val="20"/>
                <w:lang w:val="en-US"/>
              </w:rPr>
            </w:pPr>
            <w:r w:rsidRPr="00BA5143">
              <w:rPr>
                <w:sz w:val="20"/>
                <w:szCs w:val="20"/>
                <w:lang w:val="en-US"/>
              </w:rPr>
              <w:t>services to clients</w:t>
            </w:r>
          </w:p>
        </w:tc>
        <w:tc>
          <w:tcPr>
            <w:tcW w:w="1118" w:type="dxa"/>
            <w:tcBorders>
              <w:top w:val="nil"/>
              <w:left w:val="nil"/>
              <w:bottom w:val="single" w:sz="4" w:space="0" w:color="auto"/>
              <w:right w:val="single" w:sz="4" w:space="0" w:color="auto"/>
            </w:tcBorders>
            <w:vAlign w:val="center"/>
            <w:hideMark/>
          </w:tcPr>
          <w:p w:rsidR="00655AB0" w:rsidRPr="00BA5143" w:rsidRDefault="00655AB0" w:rsidP="00D371BE">
            <w:pPr>
              <w:ind w:left="-54"/>
              <w:jc w:val="center"/>
              <w:rPr>
                <w:sz w:val="20"/>
                <w:szCs w:val="20"/>
                <w:lang w:val="en-US"/>
              </w:rPr>
            </w:pPr>
            <w:r w:rsidRPr="00BA5143">
              <w:rPr>
                <w:sz w:val="20"/>
                <w:szCs w:val="20"/>
                <w:lang w:val="en-US"/>
              </w:rPr>
              <w:t>securities transactions</w:t>
            </w:r>
          </w:p>
        </w:tc>
        <w:tc>
          <w:tcPr>
            <w:tcW w:w="1114" w:type="dxa"/>
            <w:vMerge/>
            <w:tcBorders>
              <w:top w:val="single" w:sz="8" w:space="0" w:color="auto"/>
              <w:left w:val="single" w:sz="4" w:space="0" w:color="auto"/>
              <w:bottom w:val="single" w:sz="4" w:space="0" w:color="auto"/>
              <w:right w:val="single" w:sz="8" w:space="0" w:color="auto"/>
            </w:tcBorders>
            <w:vAlign w:val="center"/>
            <w:hideMark/>
          </w:tcPr>
          <w:p w:rsidR="00655AB0" w:rsidRPr="00BA5143" w:rsidRDefault="00655AB0">
            <w:pPr>
              <w:rPr>
                <w:sz w:val="20"/>
                <w:szCs w:val="20"/>
                <w:lang w:val="en-US"/>
              </w:rPr>
            </w:pP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1 </w:t>
            </w:r>
          </w:p>
        </w:tc>
        <w:tc>
          <w:tcPr>
            <w:tcW w:w="4016" w:type="dxa"/>
            <w:tcBorders>
              <w:top w:val="nil"/>
              <w:left w:val="nil"/>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2 </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3 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4 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5 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center"/>
              <w:rPr>
                <w:sz w:val="20"/>
                <w:szCs w:val="20"/>
                <w:lang w:val="en-US"/>
              </w:rPr>
            </w:pPr>
            <w:r w:rsidRPr="00BA5143">
              <w:rPr>
                <w:sz w:val="20"/>
                <w:szCs w:val="20"/>
                <w:lang w:val="en-US"/>
              </w:rPr>
              <w:t>6 </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 </w:t>
            </w:r>
          </w:p>
        </w:tc>
        <w:tc>
          <w:tcPr>
            <w:tcW w:w="4016" w:type="dxa"/>
            <w:tcBorders>
              <w:top w:val="nil"/>
              <w:left w:val="nil"/>
              <w:bottom w:val="single" w:sz="4" w:space="0" w:color="auto"/>
              <w:right w:val="single" w:sz="4" w:space="0" w:color="auto"/>
            </w:tcBorders>
            <w:hideMark/>
          </w:tcPr>
          <w:p w:rsidR="00655AB0" w:rsidRPr="00BA5143" w:rsidRDefault="00D371BE">
            <w:pPr>
              <w:rPr>
                <w:sz w:val="20"/>
                <w:szCs w:val="20"/>
                <w:lang w:val="en-US"/>
              </w:rPr>
            </w:pPr>
            <w:r w:rsidRPr="00BA5143">
              <w:rPr>
                <w:sz w:val="20"/>
                <w:szCs w:val="20"/>
                <w:lang w:val="en-US"/>
              </w:rPr>
              <w:t>Income</w:t>
            </w:r>
            <w:r w:rsidR="00655AB0" w:rsidRPr="00BA5143">
              <w:rPr>
                <w:sz w:val="20"/>
                <w:szCs w:val="20"/>
                <w:lang w:val="en-US"/>
              </w:rPr>
              <w:t xml:space="preserve"> from external clients:</w:t>
            </w:r>
          </w:p>
        </w:tc>
        <w:tc>
          <w:tcPr>
            <w:tcW w:w="1115" w:type="dxa"/>
            <w:tcBorders>
              <w:top w:val="nil"/>
              <w:left w:val="nil"/>
              <w:bottom w:val="single" w:sz="4" w:space="0" w:color="auto"/>
              <w:right w:val="single" w:sz="4" w:space="0" w:color="auto"/>
            </w:tcBorders>
            <w:vAlign w:val="bottom"/>
          </w:tcPr>
          <w:p w:rsidR="00655AB0" w:rsidRPr="00BA5143" w:rsidRDefault="00655AB0">
            <w:pPr>
              <w:jc w:val="right"/>
              <w:rPr>
                <w:sz w:val="20"/>
                <w:szCs w:val="20"/>
                <w:lang w:val="en-US"/>
              </w:rPr>
            </w:pPr>
          </w:p>
        </w:tc>
        <w:tc>
          <w:tcPr>
            <w:tcW w:w="1116" w:type="dxa"/>
            <w:tcBorders>
              <w:top w:val="nil"/>
              <w:left w:val="nil"/>
              <w:bottom w:val="single" w:sz="4" w:space="0" w:color="auto"/>
              <w:right w:val="single" w:sz="4" w:space="0" w:color="auto"/>
            </w:tcBorders>
            <w:vAlign w:val="bottom"/>
          </w:tcPr>
          <w:p w:rsidR="00655AB0" w:rsidRPr="00BA5143" w:rsidRDefault="00655AB0">
            <w:pPr>
              <w:jc w:val="right"/>
              <w:rPr>
                <w:sz w:val="20"/>
                <w:szCs w:val="20"/>
                <w:lang w:val="en-US"/>
              </w:rPr>
            </w:pPr>
          </w:p>
        </w:tc>
        <w:tc>
          <w:tcPr>
            <w:tcW w:w="1118" w:type="dxa"/>
            <w:tcBorders>
              <w:top w:val="nil"/>
              <w:left w:val="nil"/>
              <w:bottom w:val="single" w:sz="4" w:space="0" w:color="auto"/>
              <w:right w:val="single" w:sz="4" w:space="0" w:color="auto"/>
            </w:tcBorders>
            <w:vAlign w:val="bottom"/>
          </w:tcPr>
          <w:p w:rsidR="00655AB0" w:rsidRPr="00BA5143" w:rsidRDefault="00655AB0">
            <w:pPr>
              <w:jc w:val="right"/>
              <w:rPr>
                <w:sz w:val="20"/>
                <w:szCs w:val="20"/>
                <w:lang w:val="en-US"/>
              </w:rPr>
            </w:pPr>
          </w:p>
        </w:tc>
        <w:tc>
          <w:tcPr>
            <w:tcW w:w="1114" w:type="dxa"/>
            <w:tcBorders>
              <w:top w:val="nil"/>
              <w:left w:val="nil"/>
              <w:bottom w:val="single" w:sz="4" w:space="0" w:color="auto"/>
              <w:right w:val="single" w:sz="8" w:space="0" w:color="auto"/>
            </w:tcBorders>
            <w:vAlign w:val="bottom"/>
          </w:tcPr>
          <w:p w:rsidR="00655AB0" w:rsidRPr="00BA5143" w:rsidRDefault="00655AB0">
            <w:pPr>
              <w:jc w:val="right"/>
              <w:rPr>
                <w:sz w:val="20"/>
                <w:szCs w:val="20"/>
                <w:lang w:val="en-US"/>
              </w:rPr>
            </w:pP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Interest income</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27 302</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27 302</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2</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Commission income</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142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142</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3</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 xml:space="preserve">Total </w:t>
            </w:r>
            <w:r w:rsidR="00D371BE" w:rsidRPr="00BA5143">
              <w:rPr>
                <w:sz w:val="20"/>
                <w:szCs w:val="20"/>
                <w:lang w:val="en-US"/>
              </w:rPr>
              <w:t>income</w:t>
            </w:r>
            <w:r w:rsidRPr="00BA5143">
              <w:rPr>
                <w:sz w:val="20"/>
                <w:szCs w:val="20"/>
                <w:lang w:val="en-US"/>
              </w:rPr>
              <w:t xml:space="preserve"> segments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142</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27 302</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27 444</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4</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Interest expense</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(4 831)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(4 831) </w:t>
            </w:r>
          </w:p>
        </w:tc>
      </w:tr>
      <w:tr w:rsidR="00655AB0" w:rsidRPr="00BA5143" w:rsidTr="00655AB0">
        <w:trPr>
          <w:trHeight w:val="510"/>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5</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 xml:space="preserve">Net </w:t>
            </w:r>
            <w:r w:rsidR="00D371BE" w:rsidRPr="00BA5143">
              <w:rPr>
                <w:sz w:val="20"/>
                <w:szCs w:val="20"/>
                <w:lang w:val="en-US"/>
              </w:rPr>
              <w:t>profit</w:t>
            </w:r>
            <w:r w:rsidRPr="00BA5143">
              <w:rPr>
                <w:sz w:val="20"/>
                <w:szCs w:val="20"/>
                <w:lang w:val="en-US"/>
              </w:rPr>
              <w:t xml:space="preserve"> / (loss) on impairment of financial assets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(6)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(6)</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6</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Result from operations with foreign currency</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30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30 </w:t>
            </w:r>
          </w:p>
        </w:tc>
      </w:tr>
      <w:tr w:rsidR="00655AB0" w:rsidRPr="00BA5143" w:rsidTr="00655AB0">
        <w:trPr>
          <w:trHeight w:val="510"/>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7</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Result from revaluation of operations with foreign currency</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(17)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(17)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(34)</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8</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Commission costs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(66) </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(5) </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   </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(71) </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9</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Deductions to provisions for liabilities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111</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111</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10</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Expenditure on employee benefits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(1 017)</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(1 525)</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(7 626)</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(10 168)</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11</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Costs of wear and tear and depreciation</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(71)</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(107)</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(534)</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(712)</w:t>
            </w:r>
          </w:p>
        </w:tc>
      </w:tr>
      <w:tr w:rsidR="00655AB0" w:rsidRPr="00BA5143" w:rsidTr="00655AB0">
        <w:trPr>
          <w:trHeight w:val="255"/>
        </w:trPr>
        <w:tc>
          <w:tcPr>
            <w:tcW w:w="819" w:type="dxa"/>
            <w:tcBorders>
              <w:top w:val="nil"/>
              <w:left w:val="single" w:sz="8" w:space="0" w:color="auto"/>
              <w:bottom w:val="single" w:sz="4"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12</w:t>
            </w:r>
          </w:p>
        </w:tc>
        <w:tc>
          <w:tcPr>
            <w:tcW w:w="4016" w:type="dxa"/>
            <w:tcBorders>
              <w:top w:val="nil"/>
              <w:left w:val="nil"/>
              <w:bottom w:val="single" w:sz="4" w:space="0" w:color="auto"/>
              <w:right w:val="single" w:sz="4" w:space="0" w:color="auto"/>
            </w:tcBorders>
            <w:hideMark/>
          </w:tcPr>
          <w:p w:rsidR="00655AB0" w:rsidRPr="00BA5143" w:rsidRDefault="00655AB0">
            <w:pPr>
              <w:rPr>
                <w:sz w:val="20"/>
                <w:szCs w:val="20"/>
                <w:lang w:val="en-US"/>
              </w:rPr>
            </w:pPr>
            <w:r w:rsidRPr="00BA5143">
              <w:rPr>
                <w:sz w:val="20"/>
                <w:szCs w:val="20"/>
                <w:lang w:val="en-US"/>
              </w:rPr>
              <w:t>Administrative and other operating expenses</w:t>
            </w:r>
          </w:p>
        </w:tc>
        <w:tc>
          <w:tcPr>
            <w:tcW w:w="1115"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(3610)</w:t>
            </w:r>
          </w:p>
        </w:tc>
        <w:tc>
          <w:tcPr>
            <w:tcW w:w="1116"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(542)</w:t>
            </w:r>
          </w:p>
        </w:tc>
        <w:tc>
          <w:tcPr>
            <w:tcW w:w="1118" w:type="dxa"/>
            <w:tcBorders>
              <w:top w:val="nil"/>
              <w:left w:val="nil"/>
              <w:bottom w:val="single" w:sz="4"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(2 709)</w:t>
            </w:r>
          </w:p>
        </w:tc>
        <w:tc>
          <w:tcPr>
            <w:tcW w:w="1114" w:type="dxa"/>
            <w:tcBorders>
              <w:top w:val="nil"/>
              <w:left w:val="nil"/>
              <w:bottom w:val="single" w:sz="4"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(3 612)</w:t>
            </w:r>
          </w:p>
        </w:tc>
      </w:tr>
      <w:tr w:rsidR="00655AB0" w:rsidRPr="00BA5143" w:rsidTr="00655AB0">
        <w:trPr>
          <w:trHeight w:val="270"/>
        </w:trPr>
        <w:tc>
          <w:tcPr>
            <w:tcW w:w="819" w:type="dxa"/>
            <w:tcBorders>
              <w:top w:val="nil"/>
              <w:left w:val="single" w:sz="8" w:space="0" w:color="auto"/>
              <w:bottom w:val="single" w:sz="8" w:space="0" w:color="auto"/>
              <w:right w:val="single" w:sz="4" w:space="0" w:color="auto"/>
            </w:tcBorders>
            <w:vAlign w:val="bottom"/>
            <w:hideMark/>
          </w:tcPr>
          <w:p w:rsidR="00655AB0" w:rsidRPr="00BA5143" w:rsidRDefault="00655AB0">
            <w:pPr>
              <w:jc w:val="center"/>
              <w:rPr>
                <w:sz w:val="20"/>
                <w:szCs w:val="20"/>
                <w:lang w:val="en-US"/>
              </w:rPr>
            </w:pPr>
            <w:r w:rsidRPr="00BA5143">
              <w:rPr>
                <w:sz w:val="20"/>
                <w:szCs w:val="20"/>
                <w:lang w:val="en-US"/>
              </w:rPr>
              <w:t>13</w:t>
            </w:r>
          </w:p>
        </w:tc>
        <w:tc>
          <w:tcPr>
            <w:tcW w:w="4016" w:type="dxa"/>
            <w:tcBorders>
              <w:top w:val="nil"/>
              <w:left w:val="nil"/>
              <w:bottom w:val="single" w:sz="8" w:space="0" w:color="auto"/>
              <w:right w:val="single" w:sz="4" w:space="0" w:color="auto"/>
            </w:tcBorders>
            <w:hideMark/>
          </w:tcPr>
          <w:p w:rsidR="00655AB0" w:rsidRPr="00BA5143" w:rsidRDefault="00655AB0">
            <w:pPr>
              <w:rPr>
                <w:sz w:val="20"/>
                <w:szCs w:val="20"/>
                <w:lang w:val="en-US"/>
              </w:rPr>
            </w:pPr>
            <w:r w:rsidRPr="00BA5143">
              <w:rPr>
                <w:sz w:val="20"/>
                <w:szCs w:val="20"/>
                <w:lang w:val="en-US"/>
              </w:rPr>
              <w:t>SEGMENT RESULT: profit / (loss)</w:t>
            </w:r>
          </w:p>
        </w:tc>
        <w:tc>
          <w:tcPr>
            <w:tcW w:w="1115" w:type="dxa"/>
            <w:tcBorders>
              <w:top w:val="nil"/>
              <w:left w:val="nil"/>
              <w:bottom w:val="single" w:sz="8"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(1 524)</w:t>
            </w:r>
          </w:p>
        </w:tc>
        <w:tc>
          <w:tcPr>
            <w:tcW w:w="1116" w:type="dxa"/>
            <w:tcBorders>
              <w:top w:val="nil"/>
              <w:left w:val="nil"/>
              <w:bottom w:val="single" w:sz="8"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(6 752)</w:t>
            </w:r>
          </w:p>
        </w:tc>
        <w:tc>
          <w:tcPr>
            <w:tcW w:w="1118" w:type="dxa"/>
            <w:tcBorders>
              <w:top w:val="nil"/>
              <w:left w:val="nil"/>
              <w:bottom w:val="single" w:sz="8" w:space="0" w:color="auto"/>
              <w:right w:val="single" w:sz="4" w:space="0" w:color="auto"/>
            </w:tcBorders>
            <w:vAlign w:val="bottom"/>
            <w:hideMark/>
          </w:tcPr>
          <w:p w:rsidR="00655AB0" w:rsidRPr="00BA5143" w:rsidRDefault="00655AB0">
            <w:pPr>
              <w:jc w:val="right"/>
              <w:rPr>
                <w:sz w:val="20"/>
                <w:szCs w:val="20"/>
                <w:lang w:val="en-US"/>
              </w:rPr>
            </w:pPr>
            <w:r w:rsidRPr="00BA5143">
              <w:rPr>
                <w:sz w:val="20"/>
                <w:szCs w:val="20"/>
                <w:lang w:val="en-US"/>
              </w:rPr>
              <w:t>16 426</w:t>
            </w:r>
          </w:p>
        </w:tc>
        <w:tc>
          <w:tcPr>
            <w:tcW w:w="1114" w:type="dxa"/>
            <w:tcBorders>
              <w:top w:val="nil"/>
              <w:left w:val="nil"/>
              <w:bottom w:val="single" w:sz="8" w:space="0" w:color="auto"/>
              <w:right w:val="single" w:sz="8" w:space="0" w:color="auto"/>
            </w:tcBorders>
            <w:vAlign w:val="bottom"/>
            <w:hideMark/>
          </w:tcPr>
          <w:p w:rsidR="00655AB0" w:rsidRPr="00BA5143" w:rsidRDefault="00655AB0">
            <w:pPr>
              <w:jc w:val="right"/>
              <w:rPr>
                <w:sz w:val="20"/>
                <w:szCs w:val="20"/>
                <w:lang w:val="en-US"/>
              </w:rPr>
            </w:pPr>
            <w:r w:rsidRPr="00BA5143">
              <w:rPr>
                <w:sz w:val="20"/>
                <w:szCs w:val="20"/>
                <w:lang w:val="en-US"/>
              </w:rPr>
              <w:t xml:space="preserve">8 151 </w:t>
            </w:r>
          </w:p>
        </w:tc>
      </w:tr>
    </w:tbl>
    <w:p w:rsidR="00655AB0" w:rsidRPr="00BA5143" w:rsidRDefault="00655AB0" w:rsidP="00655AB0">
      <w:pPr>
        <w:spacing w:line="240" w:lineRule="exact"/>
        <w:jc w:val="both"/>
        <w:rPr>
          <w:b/>
          <w:highlight w:val="yellow"/>
          <w:lang w:val="en-US"/>
        </w:rPr>
      </w:pPr>
    </w:p>
    <w:p w:rsidR="006919E7" w:rsidRPr="00BA5143" w:rsidRDefault="006919E7" w:rsidP="008959F9">
      <w:pPr>
        <w:spacing w:line="240" w:lineRule="exact"/>
        <w:jc w:val="both"/>
        <w:rPr>
          <w:b/>
          <w:highlight w:val="yellow"/>
          <w:lang w:val="en-US"/>
        </w:rPr>
      </w:pPr>
    </w:p>
    <w:p w:rsidR="00D371BE" w:rsidRPr="00BA5143" w:rsidRDefault="00D371BE" w:rsidP="00D371BE">
      <w:pPr>
        <w:ind w:left="540"/>
        <w:rPr>
          <w:b/>
          <w:lang w:val="en-US"/>
        </w:rPr>
      </w:pPr>
      <w:r w:rsidRPr="00BA5143">
        <w:rPr>
          <w:b/>
          <w:lang w:val="en-US"/>
        </w:rPr>
        <w:t>Table 24.2. Income, expenses and results of reporting segments for 2017</w:t>
      </w:r>
    </w:p>
    <w:p w:rsidR="00D371BE" w:rsidRPr="00BA5143" w:rsidRDefault="00D371BE" w:rsidP="00D371BE">
      <w:pPr>
        <w:ind w:left="540"/>
        <w:jc w:val="right"/>
        <w:rPr>
          <w:bCs/>
          <w:sz w:val="20"/>
          <w:lang w:val="en-US" w:eastAsia="uk-UA"/>
        </w:rPr>
      </w:pPr>
      <w:r w:rsidRPr="00BA5143">
        <w:rPr>
          <w:lang w:val="en-US"/>
        </w:rPr>
        <w:t>(ths. UAH.)</w:t>
      </w:r>
      <w:r w:rsidRPr="00BA5143">
        <w:rPr>
          <w:bCs/>
          <w:sz w:val="20"/>
          <w:lang w:val="en-US" w:eastAsia="uk-UA"/>
        </w:rPr>
        <w:t xml:space="preserve">   </w:t>
      </w:r>
    </w:p>
    <w:tbl>
      <w:tblPr>
        <w:tblW w:w="9706" w:type="dxa"/>
        <w:tblInd w:w="93" w:type="dxa"/>
        <w:tblLayout w:type="fixed"/>
        <w:tblLook w:val="0000"/>
      </w:tblPr>
      <w:tblGrid>
        <w:gridCol w:w="819"/>
        <w:gridCol w:w="3307"/>
        <w:gridCol w:w="1115"/>
        <w:gridCol w:w="1116"/>
        <w:gridCol w:w="1118"/>
        <w:gridCol w:w="1117"/>
        <w:gridCol w:w="1114"/>
      </w:tblGrid>
      <w:tr w:rsidR="00DE0D14" w:rsidRPr="00BA5143" w:rsidTr="00DE0D14">
        <w:trPr>
          <w:trHeight w:val="255"/>
        </w:trPr>
        <w:tc>
          <w:tcPr>
            <w:tcW w:w="819" w:type="dxa"/>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sz w:val="20"/>
                <w:szCs w:val="20"/>
                <w:lang w:val="en-US"/>
              </w:rPr>
            </w:pPr>
            <w:r w:rsidRPr="00BA5143">
              <w:rPr>
                <w:sz w:val="20"/>
                <w:szCs w:val="20"/>
                <w:lang w:val="en-US"/>
              </w:rPr>
              <w:t>Line </w:t>
            </w:r>
          </w:p>
        </w:tc>
        <w:tc>
          <w:tcPr>
            <w:tcW w:w="330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DE0D14" w:rsidRPr="00BA5143" w:rsidRDefault="00DE0D14" w:rsidP="00DE0D14">
            <w:pPr>
              <w:spacing w:line="200" w:lineRule="exact"/>
              <w:jc w:val="center"/>
              <w:rPr>
                <w:sz w:val="20"/>
                <w:lang w:val="en-US"/>
              </w:rPr>
            </w:pPr>
            <w:r w:rsidRPr="00BA5143">
              <w:rPr>
                <w:sz w:val="20"/>
                <w:lang w:val="en-US"/>
              </w:rPr>
              <w:t>Item</w:t>
            </w:r>
          </w:p>
        </w:tc>
        <w:tc>
          <w:tcPr>
            <w:tcW w:w="3349" w:type="dxa"/>
            <w:gridSpan w:val="3"/>
            <w:tcBorders>
              <w:top w:val="single" w:sz="8" w:space="0" w:color="auto"/>
              <w:left w:val="nil"/>
              <w:bottom w:val="single" w:sz="4" w:space="0" w:color="auto"/>
              <w:right w:val="single" w:sz="4" w:space="0" w:color="auto"/>
            </w:tcBorders>
            <w:shd w:val="clear" w:color="auto" w:fill="auto"/>
            <w:vAlign w:val="center"/>
          </w:tcPr>
          <w:p w:rsidR="00DE0D14" w:rsidRPr="00BA5143" w:rsidRDefault="00DE0D14" w:rsidP="00DE0D14">
            <w:pPr>
              <w:jc w:val="center"/>
              <w:rPr>
                <w:sz w:val="20"/>
                <w:szCs w:val="20"/>
                <w:lang w:val="en-US"/>
              </w:rPr>
            </w:pPr>
            <w:r w:rsidRPr="00BA5143">
              <w:rPr>
                <w:sz w:val="20"/>
                <w:szCs w:val="20"/>
                <w:lang w:val="en-US"/>
              </w:rPr>
              <w:t>Name of reporting segments</w:t>
            </w:r>
          </w:p>
        </w:tc>
        <w:tc>
          <w:tcPr>
            <w:tcW w:w="111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DE0D14" w:rsidRPr="00BA5143" w:rsidRDefault="00DE0D14" w:rsidP="00DE0D14">
            <w:pPr>
              <w:jc w:val="center"/>
              <w:rPr>
                <w:sz w:val="20"/>
                <w:szCs w:val="20"/>
                <w:lang w:val="en-US"/>
              </w:rPr>
            </w:pPr>
            <w:r w:rsidRPr="00BA5143">
              <w:rPr>
                <w:sz w:val="20"/>
                <w:szCs w:val="20"/>
                <w:lang w:val="en-US"/>
              </w:rPr>
              <w:t>Other segments and operations</w:t>
            </w:r>
          </w:p>
        </w:tc>
        <w:tc>
          <w:tcPr>
            <w:tcW w:w="1114"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DE0D14" w:rsidRPr="00BA5143" w:rsidRDefault="00DE0D14" w:rsidP="00DE0D14">
            <w:pPr>
              <w:jc w:val="center"/>
              <w:rPr>
                <w:sz w:val="20"/>
                <w:szCs w:val="20"/>
                <w:lang w:val="en-US"/>
              </w:rPr>
            </w:pPr>
            <w:r w:rsidRPr="00BA5143">
              <w:rPr>
                <w:sz w:val="20"/>
                <w:szCs w:val="20"/>
                <w:lang w:val="en-US"/>
              </w:rPr>
              <w:t>Total</w:t>
            </w:r>
          </w:p>
        </w:tc>
      </w:tr>
      <w:tr w:rsidR="00DE0D14" w:rsidRPr="00BA5143" w:rsidTr="000920F5">
        <w:trPr>
          <w:trHeight w:val="765"/>
        </w:trPr>
        <w:tc>
          <w:tcPr>
            <w:tcW w:w="819" w:type="dxa"/>
            <w:vMerge/>
            <w:tcBorders>
              <w:top w:val="single" w:sz="8" w:space="0" w:color="auto"/>
              <w:left w:val="single" w:sz="8" w:space="0" w:color="auto"/>
              <w:bottom w:val="single" w:sz="4" w:space="0" w:color="auto"/>
              <w:right w:val="single" w:sz="4" w:space="0" w:color="auto"/>
            </w:tcBorders>
            <w:vAlign w:val="center"/>
          </w:tcPr>
          <w:p w:rsidR="00DE0D14" w:rsidRPr="00BA5143" w:rsidRDefault="00DE0D14" w:rsidP="00DE0D14">
            <w:pPr>
              <w:rPr>
                <w:color w:val="000000"/>
                <w:sz w:val="20"/>
                <w:szCs w:val="20"/>
                <w:lang w:val="en-US"/>
              </w:rPr>
            </w:pPr>
          </w:p>
        </w:tc>
        <w:tc>
          <w:tcPr>
            <w:tcW w:w="3307" w:type="dxa"/>
            <w:vMerge/>
            <w:tcBorders>
              <w:top w:val="single" w:sz="8" w:space="0" w:color="auto"/>
              <w:left w:val="single" w:sz="4" w:space="0" w:color="auto"/>
              <w:bottom w:val="single" w:sz="4" w:space="0" w:color="auto"/>
              <w:right w:val="single" w:sz="4" w:space="0" w:color="auto"/>
            </w:tcBorders>
            <w:vAlign w:val="center"/>
          </w:tcPr>
          <w:p w:rsidR="00DE0D14" w:rsidRPr="00BA5143" w:rsidRDefault="00DE0D14" w:rsidP="00DE0D14">
            <w:pPr>
              <w:rPr>
                <w:color w:val="000000"/>
                <w:sz w:val="20"/>
                <w:szCs w:val="20"/>
                <w:lang w:val="en-US"/>
              </w:rPr>
            </w:pPr>
          </w:p>
        </w:tc>
        <w:tc>
          <w:tcPr>
            <w:tcW w:w="1115" w:type="dxa"/>
            <w:tcBorders>
              <w:top w:val="nil"/>
              <w:left w:val="nil"/>
              <w:bottom w:val="single" w:sz="4" w:space="0" w:color="auto"/>
              <w:right w:val="single" w:sz="4" w:space="0" w:color="auto"/>
            </w:tcBorders>
            <w:shd w:val="clear" w:color="auto" w:fill="auto"/>
            <w:vAlign w:val="center"/>
          </w:tcPr>
          <w:p w:rsidR="00DE0D14" w:rsidRPr="00BA5143" w:rsidRDefault="00DE0D14" w:rsidP="00DE0D14">
            <w:pPr>
              <w:jc w:val="center"/>
              <w:rPr>
                <w:sz w:val="20"/>
                <w:szCs w:val="20"/>
                <w:lang w:val="en-US"/>
              </w:rPr>
            </w:pPr>
            <w:r w:rsidRPr="00BA5143">
              <w:rPr>
                <w:sz w:val="20"/>
                <w:szCs w:val="20"/>
                <w:lang w:val="en-US"/>
              </w:rPr>
              <w:t>services to other banks</w:t>
            </w:r>
          </w:p>
        </w:tc>
        <w:tc>
          <w:tcPr>
            <w:tcW w:w="1116" w:type="dxa"/>
            <w:tcBorders>
              <w:top w:val="nil"/>
              <w:left w:val="nil"/>
              <w:bottom w:val="single" w:sz="4" w:space="0" w:color="auto"/>
              <w:right w:val="single" w:sz="4" w:space="0" w:color="auto"/>
            </w:tcBorders>
            <w:shd w:val="clear" w:color="auto" w:fill="auto"/>
            <w:vAlign w:val="center"/>
          </w:tcPr>
          <w:p w:rsidR="00DE0D14" w:rsidRPr="00BA5143" w:rsidRDefault="00DE0D14" w:rsidP="00DE0D14">
            <w:pPr>
              <w:jc w:val="center"/>
              <w:rPr>
                <w:sz w:val="20"/>
                <w:szCs w:val="20"/>
                <w:lang w:val="en-US"/>
              </w:rPr>
            </w:pPr>
            <w:r w:rsidRPr="00BA5143">
              <w:rPr>
                <w:sz w:val="20"/>
                <w:szCs w:val="20"/>
                <w:lang w:val="en-US"/>
              </w:rPr>
              <w:t>services to clients</w:t>
            </w:r>
          </w:p>
        </w:tc>
        <w:tc>
          <w:tcPr>
            <w:tcW w:w="1118" w:type="dxa"/>
            <w:tcBorders>
              <w:top w:val="nil"/>
              <w:left w:val="nil"/>
              <w:bottom w:val="single" w:sz="4" w:space="0" w:color="auto"/>
              <w:right w:val="single" w:sz="4" w:space="0" w:color="auto"/>
            </w:tcBorders>
            <w:shd w:val="clear" w:color="auto" w:fill="auto"/>
            <w:vAlign w:val="center"/>
          </w:tcPr>
          <w:p w:rsidR="00DE0D14" w:rsidRPr="00BA5143" w:rsidRDefault="00DE0D14" w:rsidP="00DE0D14">
            <w:pPr>
              <w:ind w:left="-50" w:right="-43"/>
              <w:jc w:val="center"/>
              <w:rPr>
                <w:sz w:val="20"/>
                <w:szCs w:val="20"/>
                <w:lang w:val="en-US"/>
              </w:rPr>
            </w:pPr>
            <w:r w:rsidRPr="00BA5143">
              <w:rPr>
                <w:sz w:val="20"/>
                <w:szCs w:val="20"/>
                <w:lang w:val="en-US"/>
              </w:rPr>
              <w:t>securities transactions</w:t>
            </w:r>
          </w:p>
        </w:tc>
        <w:tc>
          <w:tcPr>
            <w:tcW w:w="1117" w:type="dxa"/>
            <w:vMerge/>
            <w:tcBorders>
              <w:top w:val="single" w:sz="8" w:space="0" w:color="auto"/>
              <w:left w:val="single" w:sz="4" w:space="0" w:color="auto"/>
              <w:bottom w:val="single" w:sz="4" w:space="0" w:color="auto"/>
              <w:right w:val="single" w:sz="4" w:space="0" w:color="auto"/>
            </w:tcBorders>
            <w:vAlign w:val="center"/>
          </w:tcPr>
          <w:p w:rsidR="00DE0D14" w:rsidRPr="00BA5143" w:rsidRDefault="00DE0D14" w:rsidP="00DE0D14">
            <w:pPr>
              <w:rPr>
                <w:color w:val="000000"/>
                <w:sz w:val="20"/>
                <w:szCs w:val="20"/>
                <w:lang w:val="en-US"/>
              </w:rPr>
            </w:pPr>
          </w:p>
        </w:tc>
        <w:tc>
          <w:tcPr>
            <w:tcW w:w="1114" w:type="dxa"/>
            <w:vMerge/>
            <w:tcBorders>
              <w:top w:val="single" w:sz="8" w:space="0" w:color="auto"/>
              <w:left w:val="single" w:sz="4" w:space="0" w:color="auto"/>
              <w:bottom w:val="single" w:sz="4" w:space="0" w:color="auto"/>
              <w:right w:val="single" w:sz="8" w:space="0" w:color="auto"/>
            </w:tcBorders>
            <w:vAlign w:val="center"/>
          </w:tcPr>
          <w:p w:rsidR="00DE0D14" w:rsidRPr="00BA5143" w:rsidRDefault="00DE0D14" w:rsidP="00DE0D14">
            <w:pPr>
              <w:rPr>
                <w:color w:val="000000"/>
                <w:sz w:val="20"/>
                <w:szCs w:val="20"/>
                <w:lang w:val="en-US"/>
              </w:rPr>
            </w:pPr>
          </w:p>
        </w:tc>
      </w:tr>
      <w:tr w:rsidR="008959F9" w:rsidRPr="00BA5143" w:rsidTr="000920F5">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1 </w:t>
            </w:r>
          </w:p>
        </w:tc>
        <w:tc>
          <w:tcPr>
            <w:tcW w:w="3307" w:type="dxa"/>
            <w:tcBorders>
              <w:top w:val="nil"/>
              <w:left w:val="nil"/>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2 </w:t>
            </w:r>
          </w:p>
        </w:tc>
        <w:tc>
          <w:tcPr>
            <w:tcW w:w="1115" w:type="dxa"/>
            <w:tcBorders>
              <w:top w:val="nil"/>
              <w:left w:val="nil"/>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3 </w:t>
            </w:r>
          </w:p>
        </w:tc>
        <w:tc>
          <w:tcPr>
            <w:tcW w:w="1116" w:type="dxa"/>
            <w:tcBorders>
              <w:top w:val="nil"/>
              <w:left w:val="nil"/>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4 </w:t>
            </w:r>
          </w:p>
        </w:tc>
        <w:tc>
          <w:tcPr>
            <w:tcW w:w="1118" w:type="dxa"/>
            <w:tcBorders>
              <w:top w:val="nil"/>
              <w:left w:val="nil"/>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5 </w:t>
            </w:r>
          </w:p>
        </w:tc>
        <w:tc>
          <w:tcPr>
            <w:tcW w:w="1117" w:type="dxa"/>
            <w:tcBorders>
              <w:top w:val="nil"/>
              <w:left w:val="nil"/>
              <w:bottom w:val="single" w:sz="4" w:space="0" w:color="auto"/>
              <w:right w:val="single" w:sz="4"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6 </w:t>
            </w:r>
          </w:p>
        </w:tc>
        <w:tc>
          <w:tcPr>
            <w:tcW w:w="1114" w:type="dxa"/>
            <w:tcBorders>
              <w:top w:val="nil"/>
              <w:left w:val="nil"/>
              <w:bottom w:val="single" w:sz="4" w:space="0" w:color="auto"/>
              <w:right w:val="single" w:sz="8" w:space="0" w:color="auto"/>
            </w:tcBorders>
            <w:shd w:val="clear" w:color="auto" w:fill="auto"/>
            <w:vAlign w:val="bottom"/>
          </w:tcPr>
          <w:p w:rsidR="008959F9" w:rsidRPr="00BA5143" w:rsidRDefault="008959F9" w:rsidP="000920F5">
            <w:pPr>
              <w:jc w:val="center"/>
              <w:rPr>
                <w:color w:val="000000"/>
                <w:sz w:val="20"/>
                <w:szCs w:val="20"/>
                <w:lang w:val="en-US"/>
              </w:rPr>
            </w:pPr>
            <w:r w:rsidRPr="00BA5143">
              <w:rPr>
                <w:color w:val="000000"/>
                <w:sz w:val="20"/>
                <w:szCs w:val="20"/>
                <w:lang w:val="en-US"/>
              </w:rPr>
              <w:t>7 </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 </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Income from external clients: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1</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Interest income</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45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9 894</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9 939</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2</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Commission income</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208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208 </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3</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Other operating income</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5 924</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5 925</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4</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Total income segments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5 969</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208</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9 894</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16 072</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5</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Interest expense</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(3 283)</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(3 754)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(7 037) </w:t>
            </w:r>
          </w:p>
        </w:tc>
      </w:tr>
      <w:tr w:rsidR="00DE0D14" w:rsidRPr="00BA5143" w:rsidTr="00DE0D14">
        <w:trPr>
          <w:trHeight w:val="510"/>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6</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Net profit / (loss) on impairment of financial assets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7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7</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7</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Result from operations with foreign currency</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1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1 </w:t>
            </w:r>
          </w:p>
        </w:tc>
      </w:tr>
      <w:tr w:rsidR="00DE0D14" w:rsidRPr="00BA5143" w:rsidTr="00DE0D14">
        <w:trPr>
          <w:trHeight w:val="510"/>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8</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Result from revaluation of operations with foreign currency</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16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16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32</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9</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Commission costs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(23) </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(7) </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   </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(30) </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10</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Expenditure on employee benefits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(2 600)</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(70)</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(4 356)</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(7 026)</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11</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Costs of wear and tear and depreciation</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(229)</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(6)</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(385)</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(620)</w:t>
            </w:r>
          </w:p>
        </w:tc>
      </w:tr>
      <w:tr w:rsidR="00DE0D14" w:rsidRPr="00BA5143" w:rsidTr="00DE0D14">
        <w:trPr>
          <w:trHeight w:val="255"/>
        </w:trPr>
        <w:tc>
          <w:tcPr>
            <w:tcW w:w="819" w:type="dxa"/>
            <w:tcBorders>
              <w:top w:val="nil"/>
              <w:left w:val="single" w:sz="8" w:space="0" w:color="auto"/>
              <w:bottom w:val="single" w:sz="4"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12</w:t>
            </w:r>
          </w:p>
        </w:tc>
        <w:tc>
          <w:tcPr>
            <w:tcW w:w="3307" w:type="dxa"/>
            <w:tcBorders>
              <w:top w:val="nil"/>
              <w:left w:val="nil"/>
              <w:bottom w:val="single" w:sz="4"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Administrative and other operating expenses</w:t>
            </w:r>
          </w:p>
        </w:tc>
        <w:tc>
          <w:tcPr>
            <w:tcW w:w="1115"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(1 040)</w:t>
            </w:r>
          </w:p>
        </w:tc>
        <w:tc>
          <w:tcPr>
            <w:tcW w:w="1116"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(28)</w:t>
            </w:r>
          </w:p>
        </w:tc>
        <w:tc>
          <w:tcPr>
            <w:tcW w:w="1118"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(1 743)</w:t>
            </w:r>
          </w:p>
        </w:tc>
        <w:tc>
          <w:tcPr>
            <w:tcW w:w="1117" w:type="dxa"/>
            <w:tcBorders>
              <w:top w:val="nil"/>
              <w:left w:val="nil"/>
              <w:bottom w:val="single" w:sz="4"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w:t>
            </w:r>
          </w:p>
        </w:tc>
        <w:tc>
          <w:tcPr>
            <w:tcW w:w="1114" w:type="dxa"/>
            <w:tcBorders>
              <w:top w:val="nil"/>
              <w:left w:val="nil"/>
              <w:bottom w:val="single" w:sz="4"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(2 811)</w:t>
            </w:r>
          </w:p>
        </w:tc>
      </w:tr>
      <w:tr w:rsidR="00DE0D14" w:rsidRPr="00BA5143" w:rsidTr="00DE0D14">
        <w:trPr>
          <w:trHeight w:val="270"/>
        </w:trPr>
        <w:tc>
          <w:tcPr>
            <w:tcW w:w="819" w:type="dxa"/>
            <w:tcBorders>
              <w:top w:val="nil"/>
              <w:left w:val="single" w:sz="8" w:space="0" w:color="auto"/>
              <w:bottom w:val="single" w:sz="8" w:space="0" w:color="auto"/>
              <w:right w:val="single" w:sz="4" w:space="0" w:color="auto"/>
            </w:tcBorders>
            <w:shd w:val="clear" w:color="auto" w:fill="auto"/>
            <w:vAlign w:val="bottom"/>
          </w:tcPr>
          <w:p w:rsidR="00DE0D14" w:rsidRPr="00BA5143" w:rsidRDefault="00DE0D14" w:rsidP="00DE0D14">
            <w:pPr>
              <w:jc w:val="center"/>
              <w:rPr>
                <w:color w:val="000000"/>
                <w:sz w:val="20"/>
                <w:szCs w:val="20"/>
                <w:lang w:val="en-US"/>
              </w:rPr>
            </w:pPr>
            <w:r w:rsidRPr="00BA5143">
              <w:rPr>
                <w:color w:val="000000"/>
                <w:sz w:val="20"/>
                <w:szCs w:val="20"/>
                <w:lang w:val="en-US"/>
              </w:rPr>
              <w:t>13</w:t>
            </w:r>
          </w:p>
        </w:tc>
        <w:tc>
          <w:tcPr>
            <w:tcW w:w="3307" w:type="dxa"/>
            <w:tcBorders>
              <w:top w:val="nil"/>
              <w:left w:val="nil"/>
              <w:bottom w:val="single" w:sz="8" w:space="0" w:color="auto"/>
              <w:right w:val="single" w:sz="4" w:space="0" w:color="auto"/>
            </w:tcBorders>
            <w:shd w:val="clear" w:color="auto" w:fill="auto"/>
          </w:tcPr>
          <w:p w:rsidR="00DE0D14" w:rsidRPr="00BA5143" w:rsidRDefault="00DE0D14" w:rsidP="00DE0D14">
            <w:pPr>
              <w:rPr>
                <w:sz w:val="20"/>
                <w:szCs w:val="20"/>
                <w:lang w:val="en-US"/>
              </w:rPr>
            </w:pPr>
            <w:r w:rsidRPr="00BA5143">
              <w:rPr>
                <w:sz w:val="20"/>
                <w:szCs w:val="20"/>
                <w:lang w:val="en-US"/>
              </w:rPr>
              <w:t>SEGMENT RESULT: profit / (loss)</w:t>
            </w:r>
          </w:p>
        </w:tc>
        <w:tc>
          <w:tcPr>
            <w:tcW w:w="1115" w:type="dxa"/>
            <w:tcBorders>
              <w:top w:val="nil"/>
              <w:left w:val="nil"/>
              <w:bottom w:val="single" w:sz="8"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(1 189)</w:t>
            </w:r>
          </w:p>
        </w:tc>
        <w:tc>
          <w:tcPr>
            <w:tcW w:w="1116" w:type="dxa"/>
            <w:tcBorders>
              <w:top w:val="nil"/>
              <w:left w:val="nil"/>
              <w:bottom w:val="single" w:sz="8"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(3 707)</w:t>
            </w:r>
          </w:p>
        </w:tc>
        <w:tc>
          <w:tcPr>
            <w:tcW w:w="1118" w:type="dxa"/>
            <w:tcBorders>
              <w:top w:val="nil"/>
              <w:left w:val="nil"/>
              <w:bottom w:val="single" w:sz="8"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3 483</w:t>
            </w:r>
          </w:p>
        </w:tc>
        <w:tc>
          <w:tcPr>
            <w:tcW w:w="1117" w:type="dxa"/>
            <w:tcBorders>
              <w:top w:val="nil"/>
              <w:left w:val="nil"/>
              <w:bottom w:val="single" w:sz="8" w:space="0" w:color="auto"/>
              <w:right w:val="single" w:sz="4"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1</w:t>
            </w:r>
          </w:p>
        </w:tc>
        <w:tc>
          <w:tcPr>
            <w:tcW w:w="1114" w:type="dxa"/>
            <w:tcBorders>
              <w:top w:val="nil"/>
              <w:left w:val="nil"/>
              <w:bottom w:val="single" w:sz="8" w:space="0" w:color="auto"/>
              <w:right w:val="single" w:sz="8" w:space="0" w:color="auto"/>
            </w:tcBorders>
            <w:shd w:val="clear" w:color="auto" w:fill="auto"/>
            <w:vAlign w:val="bottom"/>
          </w:tcPr>
          <w:p w:rsidR="00DE0D14" w:rsidRPr="00BA5143" w:rsidRDefault="00DE0D14" w:rsidP="00DE0D14">
            <w:pPr>
              <w:jc w:val="right"/>
              <w:rPr>
                <w:color w:val="000000"/>
                <w:sz w:val="20"/>
                <w:szCs w:val="20"/>
                <w:lang w:val="en-US"/>
              </w:rPr>
            </w:pPr>
            <w:r w:rsidRPr="00BA5143">
              <w:rPr>
                <w:color w:val="000000"/>
                <w:sz w:val="20"/>
                <w:szCs w:val="20"/>
                <w:lang w:val="en-US"/>
              </w:rPr>
              <w:t xml:space="preserve">(1 412) </w:t>
            </w:r>
          </w:p>
        </w:tc>
      </w:tr>
    </w:tbl>
    <w:p w:rsidR="00D66B14" w:rsidRPr="00BA5143" w:rsidRDefault="00D66B14" w:rsidP="006919E7">
      <w:pPr>
        <w:spacing w:line="240" w:lineRule="exact"/>
        <w:jc w:val="both"/>
        <w:rPr>
          <w:color w:val="000000"/>
          <w:sz w:val="20"/>
          <w:szCs w:val="20"/>
          <w:lang w:val="en-US"/>
        </w:rPr>
      </w:pPr>
      <w:r w:rsidRPr="00BA5143">
        <w:rPr>
          <w:color w:val="000000"/>
          <w:sz w:val="20"/>
          <w:szCs w:val="20"/>
          <w:lang w:val="en-US"/>
        </w:rPr>
        <w:lastRenderedPageBreak/>
        <w:t>* Line 3 "Other operating income" for the segment "Services to Other Banks" includes recognition of income from early termination of recognition of financial instruments in the amount of 5,924 thousand UAH. The segment "Other segments and operations" includes operating lease income (lease) in the amount of 1 thousand UAH.</w:t>
      </w:r>
    </w:p>
    <w:p w:rsidR="00D66B14" w:rsidRPr="00BA5143" w:rsidRDefault="00D66B14" w:rsidP="006919E7">
      <w:pPr>
        <w:spacing w:line="240" w:lineRule="exact"/>
        <w:jc w:val="both"/>
        <w:rPr>
          <w:color w:val="000000"/>
          <w:sz w:val="20"/>
          <w:szCs w:val="20"/>
          <w:lang w:val="en-US"/>
        </w:rPr>
      </w:pPr>
    </w:p>
    <w:p w:rsidR="00DE0D14" w:rsidRPr="00BA5143" w:rsidRDefault="00DE0D14" w:rsidP="00DE0D14">
      <w:pPr>
        <w:spacing w:line="240" w:lineRule="exact"/>
        <w:rPr>
          <w:b/>
          <w:lang w:val="en-US"/>
        </w:rPr>
      </w:pPr>
      <w:r w:rsidRPr="00BA5143">
        <w:rPr>
          <w:b/>
          <w:lang w:val="en-US"/>
        </w:rPr>
        <w:t xml:space="preserve">Table 24.3 Assets and liabilities of reporting segments for 2018 </w:t>
      </w:r>
    </w:p>
    <w:p w:rsidR="00DE0D14" w:rsidRPr="00BA5143" w:rsidRDefault="00DE0D14" w:rsidP="00DE0D14">
      <w:pPr>
        <w:ind w:left="540"/>
        <w:jc w:val="right"/>
        <w:rPr>
          <w:lang w:val="en-US"/>
        </w:rPr>
      </w:pPr>
    </w:p>
    <w:p w:rsidR="00DE0D14" w:rsidRPr="00BA5143" w:rsidRDefault="00DE0D14" w:rsidP="00DE0D14">
      <w:pPr>
        <w:spacing w:line="240" w:lineRule="exact"/>
        <w:jc w:val="right"/>
        <w:rPr>
          <w:highlight w:val="yellow"/>
          <w:lang w:val="en-US"/>
        </w:rPr>
      </w:pPr>
      <w:r w:rsidRPr="00BA5143">
        <w:rPr>
          <w:lang w:val="en-US"/>
        </w:rPr>
        <w:t>(ths. UAH.)</w:t>
      </w:r>
    </w:p>
    <w:tbl>
      <w:tblPr>
        <w:tblW w:w="9720" w:type="dxa"/>
        <w:tblInd w:w="93" w:type="dxa"/>
        <w:tblLayout w:type="fixed"/>
        <w:tblLook w:val="04A0"/>
      </w:tblPr>
      <w:tblGrid>
        <w:gridCol w:w="817"/>
        <w:gridCol w:w="4436"/>
        <w:gridCol w:w="1115"/>
        <w:gridCol w:w="1116"/>
        <w:gridCol w:w="1118"/>
        <w:gridCol w:w="1118"/>
      </w:tblGrid>
      <w:tr w:rsidR="00DE0D14" w:rsidRPr="00BA5143" w:rsidTr="00DE0D14">
        <w:trPr>
          <w:trHeight w:val="255"/>
        </w:trPr>
        <w:tc>
          <w:tcPr>
            <w:tcW w:w="818" w:type="dxa"/>
            <w:vMerge w:val="restart"/>
            <w:tcBorders>
              <w:top w:val="single" w:sz="8" w:space="0" w:color="auto"/>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Line </w:t>
            </w:r>
          </w:p>
        </w:tc>
        <w:tc>
          <w:tcPr>
            <w:tcW w:w="4438" w:type="dxa"/>
            <w:vMerge w:val="restart"/>
            <w:tcBorders>
              <w:top w:val="single" w:sz="8" w:space="0" w:color="auto"/>
              <w:left w:val="single" w:sz="4" w:space="0" w:color="auto"/>
              <w:bottom w:val="single" w:sz="4" w:space="0" w:color="auto"/>
              <w:right w:val="single" w:sz="4" w:space="0" w:color="auto"/>
            </w:tcBorders>
            <w:vAlign w:val="center"/>
            <w:hideMark/>
          </w:tcPr>
          <w:p w:rsidR="00DE0D14" w:rsidRPr="00BA5143" w:rsidRDefault="00DE0D14">
            <w:pPr>
              <w:spacing w:line="200" w:lineRule="exact"/>
              <w:jc w:val="center"/>
              <w:rPr>
                <w:sz w:val="20"/>
                <w:lang w:val="en-US"/>
              </w:rPr>
            </w:pPr>
            <w:r w:rsidRPr="00BA5143">
              <w:rPr>
                <w:sz w:val="20"/>
                <w:lang w:val="en-US"/>
              </w:rPr>
              <w:t>Item</w:t>
            </w:r>
          </w:p>
        </w:tc>
        <w:tc>
          <w:tcPr>
            <w:tcW w:w="3349" w:type="dxa"/>
            <w:gridSpan w:val="3"/>
            <w:tcBorders>
              <w:top w:val="single" w:sz="8" w:space="0" w:color="auto"/>
              <w:left w:val="nil"/>
              <w:bottom w:val="single" w:sz="4" w:space="0" w:color="auto"/>
              <w:right w:val="single" w:sz="4" w:space="0" w:color="auto"/>
            </w:tcBorders>
            <w:vAlign w:val="center"/>
            <w:hideMark/>
          </w:tcPr>
          <w:p w:rsidR="00DE0D14" w:rsidRPr="00BA5143" w:rsidRDefault="00DE0D14">
            <w:pPr>
              <w:jc w:val="center"/>
              <w:rPr>
                <w:sz w:val="20"/>
                <w:szCs w:val="20"/>
                <w:lang w:val="en-US"/>
              </w:rPr>
            </w:pPr>
            <w:r w:rsidRPr="00BA5143">
              <w:rPr>
                <w:sz w:val="20"/>
                <w:szCs w:val="20"/>
                <w:lang w:val="en-US"/>
              </w:rPr>
              <w:t>Name of reporting segments</w:t>
            </w:r>
          </w:p>
        </w:tc>
        <w:tc>
          <w:tcPr>
            <w:tcW w:w="1118" w:type="dxa"/>
            <w:vMerge w:val="restart"/>
            <w:tcBorders>
              <w:top w:val="single" w:sz="8" w:space="0" w:color="auto"/>
              <w:left w:val="single" w:sz="4" w:space="0" w:color="auto"/>
              <w:bottom w:val="single" w:sz="4" w:space="0" w:color="auto"/>
              <w:right w:val="single" w:sz="8" w:space="0" w:color="auto"/>
            </w:tcBorders>
            <w:vAlign w:val="center"/>
            <w:hideMark/>
          </w:tcPr>
          <w:p w:rsidR="00DE0D14" w:rsidRPr="00BA5143" w:rsidRDefault="00DE0D14">
            <w:pPr>
              <w:jc w:val="center"/>
              <w:rPr>
                <w:sz w:val="20"/>
                <w:szCs w:val="20"/>
                <w:lang w:val="en-US"/>
              </w:rPr>
            </w:pPr>
            <w:r w:rsidRPr="00BA5143">
              <w:rPr>
                <w:sz w:val="20"/>
                <w:szCs w:val="20"/>
                <w:lang w:val="en-US"/>
              </w:rPr>
              <w:t>Total</w:t>
            </w:r>
          </w:p>
        </w:tc>
      </w:tr>
      <w:tr w:rsidR="00DE0D14" w:rsidRPr="00BA5143" w:rsidTr="00DE0D14">
        <w:trPr>
          <w:trHeight w:val="765"/>
        </w:trPr>
        <w:tc>
          <w:tcPr>
            <w:tcW w:w="818" w:type="dxa"/>
            <w:vMerge/>
            <w:tcBorders>
              <w:top w:val="single" w:sz="8" w:space="0" w:color="auto"/>
              <w:left w:val="single" w:sz="8" w:space="0" w:color="auto"/>
              <w:bottom w:val="single" w:sz="4" w:space="0" w:color="auto"/>
              <w:right w:val="single" w:sz="4" w:space="0" w:color="auto"/>
            </w:tcBorders>
            <w:vAlign w:val="center"/>
            <w:hideMark/>
          </w:tcPr>
          <w:p w:rsidR="00DE0D14" w:rsidRPr="00BA5143" w:rsidRDefault="00DE0D14">
            <w:pPr>
              <w:rPr>
                <w:sz w:val="20"/>
                <w:szCs w:val="20"/>
                <w:lang w:val="en-US"/>
              </w:rPr>
            </w:pPr>
          </w:p>
        </w:tc>
        <w:tc>
          <w:tcPr>
            <w:tcW w:w="4438" w:type="dxa"/>
            <w:vMerge/>
            <w:tcBorders>
              <w:top w:val="single" w:sz="8" w:space="0" w:color="auto"/>
              <w:left w:val="single" w:sz="4" w:space="0" w:color="auto"/>
              <w:bottom w:val="single" w:sz="4" w:space="0" w:color="auto"/>
              <w:right w:val="single" w:sz="4" w:space="0" w:color="auto"/>
            </w:tcBorders>
            <w:vAlign w:val="center"/>
            <w:hideMark/>
          </w:tcPr>
          <w:p w:rsidR="00DE0D14" w:rsidRPr="00BA5143" w:rsidRDefault="00DE0D14">
            <w:pPr>
              <w:rPr>
                <w:sz w:val="20"/>
                <w:lang w:val="en-US"/>
              </w:rPr>
            </w:pPr>
          </w:p>
        </w:tc>
        <w:tc>
          <w:tcPr>
            <w:tcW w:w="1115" w:type="dxa"/>
            <w:tcBorders>
              <w:top w:val="nil"/>
              <w:left w:val="nil"/>
              <w:bottom w:val="single" w:sz="4" w:space="0" w:color="auto"/>
              <w:right w:val="single" w:sz="4" w:space="0" w:color="auto"/>
            </w:tcBorders>
            <w:vAlign w:val="center"/>
            <w:hideMark/>
          </w:tcPr>
          <w:p w:rsidR="00DE0D14" w:rsidRPr="00BA5143" w:rsidRDefault="00DE0D14">
            <w:pPr>
              <w:jc w:val="center"/>
              <w:rPr>
                <w:sz w:val="20"/>
                <w:szCs w:val="20"/>
                <w:lang w:val="en-US"/>
              </w:rPr>
            </w:pPr>
            <w:r w:rsidRPr="00BA5143">
              <w:rPr>
                <w:sz w:val="20"/>
                <w:szCs w:val="20"/>
                <w:lang w:val="en-US"/>
              </w:rPr>
              <w:t>services to other banks</w:t>
            </w:r>
          </w:p>
        </w:tc>
        <w:tc>
          <w:tcPr>
            <w:tcW w:w="1116" w:type="dxa"/>
            <w:tcBorders>
              <w:top w:val="nil"/>
              <w:left w:val="nil"/>
              <w:bottom w:val="single" w:sz="4" w:space="0" w:color="auto"/>
              <w:right w:val="single" w:sz="4" w:space="0" w:color="auto"/>
            </w:tcBorders>
            <w:vAlign w:val="center"/>
            <w:hideMark/>
          </w:tcPr>
          <w:p w:rsidR="00DE0D14" w:rsidRPr="00BA5143" w:rsidRDefault="00DE0D14">
            <w:pPr>
              <w:jc w:val="center"/>
              <w:rPr>
                <w:sz w:val="20"/>
                <w:szCs w:val="20"/>
                <w:lang w:val="en-US"/>
              </w:rPr>
            </w:pPr>
            <w:r w:rsidRPr="00BA5143">
              <w:rPr>
                <w:sz w:val="20"/>
                <w:szCs w:val="20"/>
                <w:lang w:val="en-US"/>
              </w:rPr>
              <w:t>services to clients</w:t>
            </w:r>
          </w:p>
        </w:tc>
        <w:tc>
          <w:tcPr>
            <w:tcW w:w="1118" w:type="dxa"/>
            <w:tcBorders>
              <w:top w:val="nil"/>
              <w:left w:val="nil"/>
              <w:bottom w:val="single" w:sz="4" w:space="0" w:color="auto"/>
              <w:right w:val="single" w:sz="4" w:space="0" w:color="auto"/>
            </w:tcBorders>
            <w:vAlign w:val="center"/>
            <w:hideMark/>
          </w:tcPr>
          <w:p w:rsidR="00DE0D14" w:rsidRPr="00BA5143" w:rsidRDefault="00DE0D14">
            <w:pPr>
              <w:jc w:val="center"/>
              <w:rPr>
                <w:sz w:val="20"/>
                <w:szCs w:val="20"/>
                <w:lang w:val="en-US"/>
              </w:rPr>
            </w:pPr>
            <w:r w:rsidRPr="00BA5143">
              <w:rPr>
                <w:sz w:val="20"/>
                <w:szCs w:val="20"/>
                <w:lang w:val="en-US"/>
              </w:rPr>
              <w:t>securities transactions</w:t>
            </w:r>
          </w:p>
        </w:tc>
        <w:tc>
          <w:tcPr>
            <w:tcW w:w="1118" w:type="dxa"/>
            <w:vMerge/>
            <w:tcBorders>
              <w:top w:val="single" w:sz="8" w:space="0" w:color="auto"/>
              <w:left w:val="single" w:sz="4" w:space="0" w:color="auto"/>
              <w:bottom w:val="single" w:sz="4" w:space="0" w:color="auto"/>
              <w:right w:val="single" w:sz="8" w:space="0" w:color="auto"/>
            </w:tcBorders>
            <w:vAlign w:val="center"/>
            <w:hideMark/>
          </w:tcPr>
          <w:p w:rsidR="00DE0D14" w:rsidRPr="00BA5143" w:rsidRDefault="00DE0D14">
            <w:pPr>
              <w:rPr>
                <w:sz w:val="20"/>
                <w:szCs w:val="20"/>
                <w:lang w:val="en-US"/>
              </w:rPr>
            </w:pP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1 </w:t>
            </w:r>
          </w:p>
        </w:tc>
        <w:tc>
          <w:tcPr>
            <w:tcW w:w="4438" w:type="dxa"/>
            <w:tcBorders>
              <w:top w:val="nil"/>
              <w:left w:val="nil"/>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2 </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3 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4 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5 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center"/>
              <w:rPr>
                <w:sz w:val="20"/>
                <w:szCs w:val="20"/>
                <w:lang w:val="en-US"/>
              </w:rPr>
            </w:pPr>
            <w:r w:rsidRPr="00BA5143">
              <w:rPr>
                <w:sz w:val="20"/>
                <w:szCs w:val="20"/>
                <w:lang w:val="en-US"/>
              </w:rPr>
              <w:t>6</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ASSETS OF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1</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Asset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810</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2 479</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169 043</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172 332</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2</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Total asset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810</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2 479</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169 043</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172 332</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3</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Unallocated assets *</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305</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443</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2 304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3 052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4</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Total assets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1 115</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2 922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171 347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175 384</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LIABILITY OF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5</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Obligations of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33 371</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33 371</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6</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Total liabilities of segments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33 371</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33 371</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7</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Unallocated liabilities **</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34</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50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259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343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8</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Total commitments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34</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33 421</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259</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33 714</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OTHER SEGMENT ARTICLES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9</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Capital Investments</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6 132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8 902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46 287</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61 321 </w:t>
            </w:r>
          </w:p>
        </w:tc>
      </w:tr>
      <w:tr w:rsidR="00DE0D14" w:rsidRPr="00BA5143" w:rsidTr="00DE0D14">
        <w:trPr>
          <w:trHeight w:val="255"/>
        </w:trPr>
        <w:tc>
          <w:tcPr>
            <w:tcW w:w="818" w:type="dxa"/>
            <w:tcBorders>
              <w:top w:val="nil"/>
              <w:left w:val="single" w:sz="8" w:space="0" w:color="auto"/>
              <w:bottom w:val="single" w:sz="4" w:space="0" w:color="auto"/>
              <w:right w:val="single" w:sz="4" w:space="0" w:color="auto"/>
            </w:tcBorders>
            <w:vAlign w:val="bottom"/>
            <w:hideMark/>
          </w:tcPr>
          <w:p w:rsidR="00DE0D14" w:rsidRPr="00BA5143" w:rsidRDefault="00DE0D14">
            <w:pPr>
              <w:jc w:val="center"/>
              <w:rPr>
                <w:sz w:val="20"/>
                <w:szCs w:val="20"/>
                <w:lang w:val="en-US"/>
              </w:rPr>
            </w:pPr>
            <w:r w:rsidRPr="00BA5143">
              <w:rPr>
                <w:sz w:val="20"/>
                <w:szCs w:val="20"/>
                <w:lang w:val="en-US"/>
              </w:rPr>
              <w:t>10</w:t>
            </w:r>
          </w:p>
        </w:tc>
        <w:tc>
          <w:tcPr>
            <w:tcW w:w="4438" w:type="dxa"/>
            <w:tcBorders>
              <w:top w:val="nil"/>
              <w:left w:val="nil"/>
              <w:bottom w:val="single" w:sz="4" w:space="0" w:color="auto"/>
              <w:right w:val="single" w:sz="4" w:space="0" w:color="auto"/>
            </w:tcBorders>
            <w:hideMark/>
          </w:tcPr>
          <w:p w:rsidR="00DE0D14" w:rsidRPr="00BA5143" w:rsidRDefault="00DE0D14">
            <w:pPr>
              <w:rPr>
                <w:sz w:val="20"/>
                <w:szCs w:val="20"/>
                <w:lang w:val="en-US"/>
              </w:rPr>
            </w:pPr>
            <w:r w:rsidRPr="00BA5143">
              <w:rPr>
                <w:sz w:val="20"/>
                <w:szCs w:val="20"/>
                <w:lang w:val="en-US"/>
              </w:rPr>
              <w:t>Amortization</w:t>
            </w:r>
          </w:p>
        </w:tc>
        <w:tc>
          <w:tcPr>
            <w:tcW w:w="1115"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(492) </w:t>
            </w:r>
          </w:p>
        </w:tc>
        <w:tc>
          <w:tcPr>
            <w:tcW w:w="1116"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(715) </w:t>
            </w:r>
          </w:p>
        </w:tc>
        <w:tc>
          <w:tcPr>
            <w:tcW w:w="1118" w:type="dxa"/>
            <w:tcBorders>
              <w:top w:val="nil"/>
              <w:left w:val="nil"/>
              <w:bottom w:val="single" w:sz="4" w:space="0" w:color="auto"/>
              <w:right w:val="single" w:sz="4"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(3 715) </w:t>
            </w:r>
          </w:p>
        </w:tc>
        <w:tc>
          <w:tcPr>
            <w:tcW w:w="1118" w:type="dxa"/>
            <w:tcBorders>
              <w:top w:val="nil"/>
              <w:left w:val="nil"/>
              <w:bottom w:val="single" w:sz="4" w:space="0" w:color="auto"/>
              <w:right w:val="single" w:sz="8" w:space="0" w:color="auto"/>
            </w:tcBorders>
            <w:vAlign w:val="bottom"/>
            <w:hideMark/>
          </w:tcPr>
          <w:p w:rsidR="00DE0D14" w:rsidRPr="00BA5143" w:rsidRDefault="00DE0D14">
            <w:pPr>
              <w:jc w:val="right"/>
              <w:rPr>
                <w:sz w:val="20"/>
                <w:szCs w:val="20"/>
                <w:lang w:val="en-US"/>
              </w:rPr>
            </w:pPr>
            <w:r w:rsidRPr="00BA5143">
              <w:rPr>
                <w:sz w:val="20"/>
                <w:szCs w:val="20"/>
                <w:lang w:val="en-US"/>
              </w:rPr>
              <w:t xml:space="preserve">(4 922) </w:t>
            </w:r>
          </w:p>
        </w:tc>
      </w:tr>
    </w:tbl>
    <w:p w:rsidR="00DE0D14" w:rsidRPr="00BA5143" w:rsidRDefault="00DE0D14" w:rsidP="00DE0D14">
      <w:pPr>
        <w:ind w:left="540"/>
        <w:jc w:val="right"/>
        <w:rPr>
          <w:bCs/>
          <w:sz w:val="20"/>
          <w:lang w:val="en-US" w:eastAsia="uk-UA"/>
        </w:rPr>
      </w:pPr>
    </w:p>
    <w:p w:rsidR="00DE0D14" w:rsidRPr="00BA5143" w:rsidRDefault="00DE0D14" w:rsidP="00DE0D14">
      <w:pPr>
        <w:spacing w:line="240" w:lineRule="exact"/>
        <w:rPr>
          <w:b/>
          <w:lang w:val="en-US"/>
        </w:rPr>
      </w:pPr>
      <w:r w:rsidRPr="00BA5143">
        <w:rPr>
          <w:b/>
          <w:lang w:val="en-US"/>
        </w:rPr>
        <w:t>Table 24.</w:t>
      </w:r>
      <w:r w:rsidR="00BA262B" w:rsidRPr="00BA5143">
        <w:rPr>
          <w:b/>
          <w:lang w:val="en-US"/>
        </w:rPr>
        <w:t>4</w:t>
      </w:r>
      <w:r w:rsidRPr="00BA5143">
        <w:rPr>
          <w:b/>
          <w:lang w:val="en-US"/>
        </w:rPr>
        <w:t xml:space="preserve"> Assets and liabilities of reporting segments for 201</w:t>
      </w:r>
      <w:r w:rsidR="00BA262B" w:rsidRPr="00BA5143">
        <w:rPr>
          <w:b/>
          <w:lang w:val="en-US"/>
        </w:rPr>
        <w:t>7</w:t>
      </w:r>
      <w:r w:rsidRPr="00BA5143">
        <w:rPr>
          <w:b/>
          <w:lang w:val="en-US"/>
        </w:rPr>
        <w:t xml:space="preserve"> </w:t>
      </w:r>
    </w:p>
    <w:p w:rsidR="00BA262B" w:rsidRPr="00BA5143" w:rsidRDefault="00BA262B" w:rsidP="00BA262B">
      <w:pPr>
        <w:spacing w:line="240" w:lineRule="exact"/>
        <w:jc w:val="right"/>
        <w:rPr>
          <w:lang w:val="en-US"/>
        </w:rPr>
      </w:pPr>
      <w:r w:rsidRPr="00BA5143">
        <w:rPr>
          <w:lang w:val="en-US"/>
        </w:rPr>
        <w:t>(ths. UAH.)</w:t>
      </w:r>
    </w:p>
    <w:tbl>
      <w:tblPr>
        <w:tblW w:w="9720" w:type="dxa"/>
        <w:tblInd w:w="93" w:type="dxa"/>
        <w:tblLayout w:type="fixed"/>
        <w:tblLook w:val="04A0"/>
      </w:tblPr>
      <w:tblGrid>
        <w:gridCol w:w="817"/>
        <w:gridCol w:w="4436"/>
        <w:gridCol w:w="1115"/>
        <w:gridCol w:w="1116"/>
        <w:gridCol w:w="1118"/>
        <w:gridCol w:w="1118"/>
      </w:tblGrid>
      <w:tr w:rsidR="00BA262B" w:rsidRPr="00BA5143" w:rsidTr="00BA262B">
        <w:trPr>
          <w:trHeight w:val="255"/>
        </w:trPr>
        <w:tc>
          <w:tcPr>
            <w:tcW w:w="818" w:type="dxa"/>
            <w:vMerge w:val="restart"/>
            <w:tcBorders>
              <w:top w:val="single" w:sz="8" w:space="0" w:color="auto"/>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Line </w:t>
            </w:r>
          </w:p>
        </w:tc>
        <w:tc>
          <w:tcPr>
            <w:tcW w:w="4438" w:type="dxa"/>
            <w:vMerge w:val="restart"/>
            <w:tcBorders>
              <w:top w:val="single" w:sz="8" w:space="0" w:color="auto"/>
              <w:left w:val="single" w:sz="4" w:space="0" w:color="auto"/>
              <w:bottom w:val="single" w:sz="4" w:space="0" w:color="auto"/>
              <w:right w:val="single" w:sz="4" w:space="0" w:color="auto"/>
            </w:tcBorders>
            <w:vAlign w:val="center"/>
            <w:hideMark/>
          </w:tcPr>
          <w:p w:rsidR="00BA262B" w:rsidRPr="00BA5143" w:rsidRDefault="00BA262B" w:rsidP="00BA262B">
            <w:pPr>
              <w:jc w:val="center"/>
              <w:rPr>
                <w:sz w:val="20"/>
                <w:szCs w:val="20"/>
                <w:lang w:val="en-US"/>
              </w:rPr>
            </w:pPr>
            <w:r w:rsidRPr="00BA5143">
              <w:rPr>
                <w:sz w:val="20"/>
                <w:szCs w:val="20"/>
                <w:lang w:val="en-US"/>
              </w:rPr>
              <w:t>Item</w:t>
            </w:r>
          </w:p>
        </w:tc>
        <w:tc>
          <w:tcPr>
            <w:tcW w:w="3349" w:type="dxa"/>
            <w:gridSpan w:val="3"/>
            <w:tcBorders>
              <w:top w:val="single" w:sz="8" w:space="0" w:color="auto"/>
              <w:left w:val="nil"/>
              <w:bottom w:val="single" w:sz="4" w:space="0" w:color="auto"/>
              <w:right w:val="single" w:sz="4" w:space="0" w:color="auto"/>
            </w:tcBorders>
            <w:vAlign w:val="center"/>
            <w:hideMark/>
          </w:tcPr>
          <w:p w:rsidR="00BA262B" w:rsidRPr="00BA5143" w:rsidRDefault="00BA262B">
            <w:pPr>
              <w:jc w:val="center"/>
              <w:rPr>
                <w:sz w:val="20"/>
                <w:szCs w:val="20"/>
                <w:lang w:val="en-US"/>
              </w:rPr>
            </w:pPr>
            <w:r w:rsidRPr="00BA5143">
              <w:rPr>
                <w:sz w:val="20"/>
                <w:szCs w:val="20"/>
                <w:lang w:val="en-US"/>
              </w:rPr>
              <w:t>Name of reporting segments</w:t>
            </w:r>
          </w:p>
        </w:tc>
        <w:tc>
          <w:tcPr>
            <w:tcW w:w="1118" w:type="dxa"/>
            <w:vMerge w:val="restart"/>
            <w:tcBorders>
              <w:top w:val="single" w:sz="8" w:space="0" w:color="auto"/>
              <w:left w:val="single" w:sz="4" w:space="0" w:color="auto"/>
              <w:bottom w:val="single" w:sz="4" w:space="0" w:color="auto"/>
              <w:right w:val="single" w:sz="8" w:space="0" w:color="auto"/>
            </w:tcBorders>
            <w:vAlign w:val="center"/>
            <w:hideMark/>
          </w:tcPr>
          <w:p w:rsidR="00BA262B" w:rsidRPr="00BA5143" w:rsidRDefault="00BA262B">
            <w:pPr>
              <w:jc w:val="center"/>
              <w:rPr>
                <w:sz w:val="20"/>
                <w:szCs w:val="20"/>
                <w:lang w:val="en-US"/>
              </w:rPr>
            </w:pPr>
            <w:r w:rsidRPr="00BA5143">
              <w:rPr>
                <w:sz w:val="20"/>
                <w:szCs w:val="20"/>
                <w:lang w:val="en-US"/>
              </w:rPr>
              <w:t>Total</w:t>
            </w:r>
          </w:p>
        </w:tc>
      </w:tr>
      <w:tr w:rsidR="00BA262B" w:rsidRPr="00BA5143" w:rsidTr="00BA262B">
        <w:trPr>
          <w:trHeight w:val="765"/>
        </w:trPr>
        <w:tc>
          <w:tcPr>
            <w:tcW w:w="818" w:type="dxa"/>
            <w:vMerge/>
            <w:tcBorders>
              <w:top w:val="single" w:sz="8" w:space="0" w:color="auto"/>
              <w:left w:val="single" w:sz="8" w:space="0" w:color="auto"/>
              <w:bottom w:val="single" w:sz="4" w:space="0" w:color="auto"/>
              <w:right w:val="single" w:sz="4" w:space="0" w:color="auto"/>
            </w:tcBorders>
            <w:vAlign w:val="center"/>
            <w:hideMark/>
          </w:tcPr>
          <w:p w:rsidR="00BA262B" w:rsidRPr="00BA5143" w:rsidRDefault="00BA262B">
            <w:pPr>
              <w:rPr>
                <w:sz w:val="20"/>
                <w:szCs w:val="20"/>
                <w:lang w:val="en-US"/>
              </w:rPr>
            </w:pPr>
          </w:p>
        </w:tc>
        <w:tc>
          <w:tcPr>
            <w:tcW w:w="4438" w:type="dxa"/>
            <w:vMerge/>
            <w:tcBorders>
              <w:top w:val="single" w:sz="8" w:space="0" w:color="auto"/>
              <w:left w:val="single" w:sz="4" w:space="0" w:color="auto"/>
              <w:bottom w:val="single" w:sz="4" w:space="0" w:color="auto"/>
              <w:right w:val="single" w:sz="4" w:space="0" w:color="auto"/>
            </w:tcBorders>
            <w:vAlign w:val="center"/>
            <w:hideMark/>
          </w:tcPr>
          <w:p w:rsidR="00BA262B" w:rsidRPr="00BA5143" w:rsidRDefault="00BA262B">
            <w:pPr>
              <w:rPr>
                <w:sz w:val="20"/>
                <w:szCs w:val="20"/>
                <w:lang w:val="en-US"/>
              </w:rPr>
            </w:pPr>
          </w:p>
        </w:tc>
        <w:tc>
          <w:tcPr>
            <w:tcW w:w="1115" w:type="dxa"/>
            <w:tcBorders>
              <w:top w:val="nil"/>
              <w:left w:val="nil"/>
              <w:bottom w:val="single" w:sz="4" w:space="0" w:color="auto"/>
              <w:right w:val="single" w:sz="4" w:space="0" w:color="auto"/>
            </w:tcBorders>
            <w:vAlign w:val="center"/>
            <w:hideMark/>
          </w:tcPr>
          <w:p w:rsidR="00BA262B" w:rsidRPr="00BA5143" w:rsidRDefault="00BA262B">
            <w:pPr>
              <w:jc w:val="center"/>
              <w:rPr>
                <w:sz w:val="20"/>
                <w:szCs w:val="20"/>
                <w:lang w:val="en-US"/>
              </w:rPr>
            </w:pPr>
            <w:r w:rsidRPr="00BA5143">
              <w:rPr>
                <w:sz w:val="20"/>
                <w:szCs w:val="20"/>
                <w:lang w:val="en-US"/>
              </w:rPr>
              <w:t>services to other banks</w:t>
            </w:r>
          </w:p>
        </w:tc>
        <w:tc>
          <w:tcPr>
            <w:tcW w:w="1116" w:type="dxa"/>
            <w:tcBorders>
              <w:top w:val="nil"/>
              <w:left w:val="nil"/>
              <w:bottom w:val="single" w:sz="4" w:space="0" w:color="auto"/>
              <w:right w:val="single" w:sz="4" w:space="0" w:color="auto"/>
            </w:tcBorders>
            <w:vAlign w:val="center"/>
            <w:hideMark/>
          </w:tcPr>
          <w:p w:rsidR="00BA262B" w:rsidRPr="00BA5143" w:rsidRDefault="00BA262B">
            <w:pPr>
              <w:jc w:val="center"/>
              <w:rPr>
                <w:sz w:val="20"/>
                <w:szCs w:val="20"/>
                <w:lang w:val="en-US"/>
              </w:rPr>
            </w:pPr>
            <w:r w:rsidRPr="00BA5143">
              <w:rPr>
                <w:sz w:val="20"/>
                <w:szCs w:val="20"/>
                <w:lang w:val="en-US"/>
              </w:rPr>
              <w:t>services to clients</w:t>
            </w:r>
          </w:p>
        </w:tc>
        <w:tc>
          <w:tcPr>
            <w:tcW w:w="1118" w:type="dxa"/>
            <w:tcBorders>
              <w:top w:val="nil"/>
              <w:left w:val="nil"/>
              <w:bottom w:val="single" w:sz="4" w:space="0" w:color="auto"/>
              <w:right w:val="single" w:sz="4" w:space="0" w:color="auto"/>
            </w:tcBorders>
            <w:vAlign w:val="center"/>
            <w:hideMark/>
          </w:tcPr>
          <w:p w:rsidR="00BA262B" w:rsidRPr="00BA5143" w:rsidRDefault="00BA262B" w:rsidP="00BA262B">
            <w:pPr>
              <w:ind w:left="-41" w:right="-52"/>
              <w:jc w:val="center"/>
              <w:rPr>
                <w:sz w:val="20"/>
                <w:szCs w:val="20"/>
                <w:lang w:val="en-US"/>
              </w:rPr>
            </w:pPr>
            <w:r w:rsidRPr="00BA5143">
              <w:rPr>
                <w:sz w:val="20"/>
                <w:szCs w:val="20"/>
                <w:lang w:val="en-US"/>
              </w:rPr>
              <w:t>securities transactions</w:t>
            </w:r>
          </w:p>
        </w:tc>
        <w:tc>
          <w:tcPr>
            <w:tcW w:w="1118" w:type="dxa"/>
            <w:vMerge/>
            <w:tcBorders>
              <w:top w:val="single" w:sz="8" w:space="0" w:color="auto"/>
              <w:left w:val="single" w:sz="4" w:space="0" w:color="auto"/>
              <w:bottom w:val="single" w:sz="4" w:space="0" w:color="auto"/>
              <w:right w:val="single" w:sz="8" w:space="0" w:color="auto"/>
            </w:tcBorders>
            <w:vAlign w:val="center"/>
            <w:hideMark/>
          </w:tcPr>
          <w:p w:rsidR="00BA262B" w:rsidRPr="00BA5143" w:rsidRDefault="00BA262B">
            <w:pPr>
              <w:rPr>
                <w:sz w:val="20"/>
                <w:szCs w:val="20"/>
                <w:lang w:val="en-US"/>
              </w:rPr>
            </w:pP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1 </w:t>
            </w:r>
          </w:p>
        </w:tc>
        <w:tc>
          <w:tcPr>
            <w:tcW w:w="4438" w:type="dxa"/>
            <w:tcBorders>
              <w:top w:val="nil"/>
              <w:left w:val="nil"/>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2 </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3 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4 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5 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center"/>
              <w:rPr>
                <w:sz w:val="20"/>
                <w:szCs w:val="20"/>
                <w:lang w:val="en-US"/>
              </w:rPr>
            </w:pPr>
            <w:r w:rsidRPr="00BA5143">
              <w:rPr>
                <w:sz w:val="20"/>
                <w:szCs w:val="20"/>
                <w:lang w:val="en-US"/>
              </w:rPr>
              <w:t>6</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ASSETS OF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1</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Asset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2 967</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450</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149 720</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153 137</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2</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Total asset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2 967</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450</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149 720</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153 137</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3</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Unallocated assets *</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422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11</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707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1 141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4</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Total assets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3 389</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461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150 427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154 278</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LIABILITY OF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5</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Obligations of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25 840</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25 840</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6</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Total liabilities of segments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25 840</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25 840</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7</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Unallocated liabilities **</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140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4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235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379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8</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Total commitments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140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25 844</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235</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25 840</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 </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OTHER SEGMENT ARTICLES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9</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Capital Investments</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22 596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611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37 864</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61 071 </w:t>
            </w:r>
          </w:p>
        </w:tc>
      </w:tr>
      <w:tr w:rsidR="00BA262B" w:rsidRPr="00BA5143" w:rsidTr="00BA262B">
        <w:trPr>
          <w:trHeight w:val="255"/>
        </w:trPr>
        <w:tc>
          <w:tcPr>
            <w:tcW w:w="818" w:type="dxa"/>
            <w:tcBorders>
              <w:top w:val="nil"/>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10</w:t>
            </w:r>
          </w:p>
        </w:tc>
        <w:tc>
          <w:tcPr>
            <w:tcW w:w="4438" w:type="dxa"/>
            <w:tcBorders>
              <w:top w:val="nil"/>
              <w:left w:val="nil"/>
              <w:bottom w:val="single" w:sz="4" w:space="0" w:color="auto"/>
              <w:right w:val="single" w:sz="4" w:space="0" w:color="auto"/>
            </w:tcBorders>
            <w:hideMark/>
          </w:tcPr>
          <w:p w:rsidR="00BA262B" w:rsidRPr="00BA5143" w:rsidRDefault="00BA262B">
            <w:pPr>
              <w:rPr>
                <w:sz w:val="20"/>
                <w:szCs w:val="20"/>
                <w:lang w:val="en-US"/>
              </w:rPr>
            </w:pPr>
            <w:r w:rsidRPr="00BA5143">
              <w:rPr>
                <w:sz w:val="20"/>
                <w:szCs w:val="20"/>
                <w:lang w:val="en-US"/>
              </w:rPr>
              <w:t>Amortization</w:t>
            </w:r>
          </w:p>
        </w:tc>
        <w:tc>
          <w:tcPr>
            <w:tcW w:w="1115"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(1 690) </w:t>
            </w:r>
          </w:p>
        </w:tc>
        <w:tc>
          <w:tcPr>
            <w:tcW w:w="1116"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(46) </w:t>
            </w:r>
          </w:p>
        </w:tc>
        <w:tc>
          <w:tcPr>
            <w:tcW w:w="1118" w:type="dxa"/>
            <w:tcBorders>
              <w:top w:val="nil"/>
              <w:left w:val="nil"/>
              <w:bottom w:val="single" w:sz="4" w:space="0" w:color="auto"/>
              <w:right w:val="single" w:sz="4"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(2 832) </w:t>
            </w:r>
          </w:p>
        </w:tc>
        <w:tc>
          <w:tcPr>
            <w:tcW w:w="1118" w:type="dxa"/>
            <w:tcBorders>
              <w:top w:val="nil"/>
              <w:left w:val="nil"/>
              <w:bottom w:val="single" w:sz="4" w:space="0" w:color="auto"/>
              <w:right w:val="single" w:sz="8" w:space="0" w:color="auto"/>
            </w:tcBorders>
            <w:vAlign w:val="bottom"/>
            <w:hideMark/>
          </w:tcPr>
          <w:p w:rsidR="00BA262B" w:rsidRPr="00BA5143" w:rsidRDefault="00BA262B">
            <w:pPr>
              <w:jc w:val="right"/>
              <w:rPr>
                <w:sz w:val="20"/>
                <w:szCs w:val="20"/>
                <w:lang w:val="en-US"/>
              </w:rPr>
            </w:pPr>
            <w:r w:rsidRPr="00BA5143">
              <w:rPr>
                <w:sz w:val="20"/>
                <w:szCs w:val="20"/>
                <w:lang w:val="en-US"/>
              </w:rPr>
              <w:t xml:space="preserve">(4 568) </w:t>
            </w:r>
          </w:p>
        </w:tc>
      </w:tr>
    </w:tbl>
    <w:p w:rsidR="0056567B" w:rsidRPr="00BA5143" w:rsidRDefault="00DE0D14" w:rsidP="00DE0D14">
      <w:pPr>
        <w:spacing w:line="240" w:lineRule="exact"/>
        <w:jc w:val="right"/>
        <w:rPr>
          <w:lang w:val="en-US"/>
        </w:rPr>
      </w:pPr>
      <w:r w:rsidRPr="00BA5143">
        <w:rPr>
          <w:lang w:val="en-US"/>
        </w:rPr>
        <w:t xml:space="preserve"> </w:t>
      </w:r>
    </w:p>
    <w:p w:rsidR="000E3DDA" w:rsidRPr="00BA5143" w:rsidRDefault="000E3DDA" w:rsidP="00BA262B">
      <w:pPr>
        <w:ind w:left="540"/>
        <w:rPr>
          <w:bCs/>
          <w:sz w:val="20"/>
          <w:highlight w:val="yellow"/>
          <w:lang w:val="en-US" w:eastAsia="uk-UA"/>
        </w:rPr>
      </w:pPr>
    </w:p>
    <w:p w:rsidR="00BA262B" w:rsidRPr="00BA5143" w:rsidRDefault="00BA262B" w:rsidP="00BA262B">
      <w:pPr>
        <w:spacing w:line="240" w:lineRule="exact"/>
        <w:rPr>
          <w:b/>
          <w:lang w:val="en-US"/>
        </w:rPr>
      </w:pPr>
      <w:proofErr w:type="gramStart"/>
      <w:r w:rsidRPr="00BA5143">
        <w:rPr>
          <w:b/>
          <w:lang w:val="en-US"/>
        </w:rPr>
        <w:t>Table 24.5.</w:t>
      </w:r>
      <w:proofErr w:type="gramEnd"/>
      <w:r w:rsidRPr="00BA5143">
        <w:rPr>
          <w:b/>
          <w:lang w:val="en-US"/>
        </w:rPr>
        <w:t xml:space="preserve"> Information about geographic regions</w:t>
      </w:r>
    </w:p>
    <w:p w:rsidR="00BA262B" w:rsidRPr="00BA5143" w:rsidRDefault="00BA262B" w:rsidP="00BA262B">
      <w:pPr>
        <w:spacing w:line="240" w:lineRule="exact"/>
        <w:jc w:val="center"/>
        <w:rPr>
          <w:b/>
          <w:lang w:val="en-US"/>
        </w:rPr>
      </w:pPr>
      <w:r w:rsidRPr="00BA5143">
        <w:rPr>
          <w:lang w:val="en-US"/>
        </w:rPr>
        <w:t xml:space="preserve">                                                                                                                               (ths. UAH.)</w:t>
      </w:r>
    </w:p>
    <w:tbl>
      <w:tblPr>
        <w:tblW w:w="9166" w:type="dxa"/>
        <w:tblInd w:w="93" w:type="dxa"/>
        <w:tblLook w:val="04A0"/>
      </w:tblPr>
      <w:tblGrid>
        <w:gridCol w:w="802"/>
        <w:gridCol w:w="2359"/>
        <w:gridCol w:w="1330"/>
        <w:gridCol w:w="989"/>
        <w:gridCol w:w="800"/>
        <w:gridCol w:w="1033"/>
        <w:gridCol w:w="989"/>
        <w:gridCol w:w="864"/>
      </w:tblGrid>
      <w:tr w:rsidR="00BA262B" w:rsidRPr="00BA5143" w:rsidTr="00BA262B">
        <w:trPr>
          <w:trHeight w:val="255"/>
        </w:trPr>
        <w:tc>
          <w:tcPr>
            <w:tcW w:w="802" w:type="dxa"/>
            <w:vMerge w:val="restart"/>
            <w:tcBorders>
              <w:top w:val="single" w:sz="8" w:space="0" w:color="auto"/>
              <w:left w:val="single" w:sz="8" w:space="0" w:color="auto"/>
              <w:bottom w:val="single" w:sz="4" w:space="0" w:color="auto"/>
              <w:right w:val="single" w:sz="4" w:space="0" w:color="auto"/>
            </w:tcBorders>
            <w:vAlign w:val="bottom"/>
            <w:hideMark/>
          </w:tcPr>
          <w:p w:rsidR="00BA262B" w:rsidRPr="00BA5143" w:rsidRDefault="00BA262B">
            <w:pPr>
              <w:jc w:val="center"/>
              <w:rPr>
                <w:sz w:val="20"/>
                <w:szCs w:val="20"/>
                <w:lang w:val="en-US"/>
              </w:rPr>
            </w:pPr>
            <w:r w:rsidRPr="00BA5143">
              <w:rPr>
                <w:sz w:val="20"/>
                <w:szCs w:val="20"/>
                <w:lang w:val="en-US"/>
              </w:rPr>
              <w:t>Line </w:t>
            </w:r>
          </w:p>
        </w:tc>
        <w:tc>
          <w:tcPr>
            <w:tcW w:w="2359" w:type="dxa"/>
            <w:vMerge w:val="restart"/>
            <w:tcBorders>
              <w:top w:val="single" w:sz="8" w:space="0" w:color="auto"/>
              <w:left w:val="single" w:sz="4" w:space="0" w:color="auto"/>
              <w:bottom w:val="single" w:sz="4" w:space="0" w:color="auto"/>
              <w:right w:val="single" w:sz="4" w:space="0" w:color="auto"/>
            </w:tcBorders>
            <w:vAlign w:val="center"/>
            <w:hideMark/>
          </w:tcPr>
          <w:p w:rsidR="00BA262B" w:rsidRPr="00BA5143" w:rsidRDefault="00C13E4C" w:rsidP="00C13E4C">
            <w:pPr>
              <w:jc w:val="center"/>
              <w:rPr>
                <w:sz w:val="20"/>
                <w:szCs w:val="20"/>
                <w:lang w:val="en-US"/>
              </w:rPr>
            </w:pPr>
            <w:r w:rsidRPr="00BA5143">
              <w:rPr>
                <w:sz w:val="20"/>
                <w:szCs w:val="20"/>
                <w:lang w:val="en-US"/>
              </w:rPr>
              <w:t>Item</w:t>
            </w:r>
          </w:p>
        </w:tc>
        <w:tc>
          <w:tcPr>
            <w:tcW w:w="3119" w:type="dxa"/>
            <w:gridSpan w:val="3"/>
            <w:tcBorders>
              <w:top w:val="single" w:sz="8" w:space="0" w:color="auto"/>
              <w:left w:val="nil"/>
              <w:bottom w:val="single" w:sz="4" w:space="0" w:color="auto"/>
              <w:right w:val="single" w:sz="8" w:space="0" w:color="000000"/>
            </w:tcBorders>
            <w:noWrap/>
            <w:vAlign w:val="bottom"/>
            <w:hideMark/>
          </w:tcPr>
          <w:p w:rsidR="00BA262B" w:rsidRPr="00BA5143" w:rsidRDefault="00BA262B">
            <w:pPr>
              <w:jc w:val="center"/>
              <w:rPr>
                <w:sz w:val="20"/>
                <w:szCs w:val="20"/>
                <w:lang w:val="en-US"/>
              </w:rPr>
            </w:pPr>
            <w:r w:rsidRPr="00BA5143">
              <w:rPr>
                <w:sz w:val="20"/>
                <w:szCs w:val="20"/>
                <w:lang w:val="en-US"/>
              </w:rPr>
              <w:t>2018</w:t>
            </w:r>
          </w:p>
        </w:tc>
        <w:tc>
          <w:tcPr>
            <w:tcW w:w="2886" w:type="dxa"/>
            <w:gridSpan w:val="3"/>
            <w:tcBorders>
              <w:top w:val="single" w:sz="8" w:space="0" w:color="auto"/>
              <w:left w:val="single" w:sz="4" w:space="0" w:color="auto"/>
              <w:bottom w:val="single" w:sz="4" w:space="0" w:color="auto"/>
              <w:right w:val="single" w:sz="8" w:space="0" w:color="000000"/>
            </w:tcBorders>
            <w:noWrap/>
            <w:vAlign w:val="bottom"/>
            <w:hideMark/>
          </w:tcPr>
          <w:p w:rsidR="00BA262B" w:rsidRPr="00BA5143" w:rsidRDefault="00BA262B">
            <w:pPr>
              <w:jc w:val="center"/>
              <w:rPr>
                <w:sz w:val="20"/>
                <w:szCs w:val="20"/>
                <w:lang w:val="en-US"/>
              </w:rPr>
            </w:pPr>
            <w:r w:rsidRPr="00BA5143">
              <w:rPr>
                <w:sz w:val="20"/>
                <w:szCs w:val="20"/>
                <w:lang w:val="en-US"/>
              </w:rPr>
              <w:t>2017</w:t>
            </w:r>
          </w:p>
        </w:tc>
      </w:tr>
      <w:tr w:rsidR="00BA262B" w:rsidRPr="00BA5143" w:rsidTr="00BA262B">
        <w:trPr>
          <w:trHeight w:val="255"/>
        </w:trPr>
        <w:tc>
          <w:tcPr>
            <w:tcW w:w="0" w:type="auto"/>
            <w:vMerge/>
            <w:tcBorders>
              <w:top w:val="single" w:sz="8" w:space="0" w:color="auto"/>
              <w:left w:val="single" w:sz="8" w:space="0" w:color="auto"/>
              <w:bottom w:val="single" w:sz="4" w:space="0" w:color="auto"/>
              <w:right w:val="single" w:sz="4" w:space="0" w:color="auto"/>
            </w:tcBorders>
            <w:vAlign w:val="center"/>
            <w:hideMark/>
          </w:tcPr>
          <w:p w:rsidR="00BA262B" w:rsidRPr="00BA5143" w:rsidRDefault="00BA262B">
            <w:pPr>
              <w:rPr>
                <w:sz w:val="20"/>
                <w:szCs w:val="20"/>
                <w:lang w:val="en-U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BA262B" w:rsidRPr="00BA5143" w:rsidRDefault="00BA262B">
            <w:pPr>
              <w:rPr>
                <w:sz w:val="20"/>
                <w:szCs w:val="20"/>
                <w:lang w:val="en-US"/>
              </w:rPr>
            </w:pPr>
          </w:p>
        </w:tc>
        <w:tc>
          <w:tcPr>
            <w:tcW w:w="1330"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 xml:space="preserve"> Ukraine</w:t>
            </w:r>
          </w:p>
        </w:tc>
        <w:tc>
          <w:tcPr>
            <w:tcW w:w="989" w:type="dxa"/>
            <w:tcBorders>
              <w:top w:val="nil"/>
              <w:left w:val="nil"/>
              <w:bottom w:val="single" w:sz="4" w:space="0" w:color="auto"/>
              <w:right w:val="single" w:sz="4" w:space="0" w:color="auto"/>
            </w:tcBorders>
            <w:noWrap/>
            <w:vAlign w:val="bottom"/>
            <w:hideMark/>
          </w:tcPr>
          <w:p w:rsidR="00BA262B" w:rsidRPr="00BA5143" w:rsidRDefault="00BA262B" w:rsidP="00BA262B">
            <w:pPr>
              <w:ind w:left="-160" w:hanging="8"/>
              <w:jc w:val="center"/>
              <w:rPr>
                <w:sz w:val="20"/>
                <w:szCs w:val="20"/>
                <w:lang w:val="en-US"/>
              </w:rPr>
            </w:pPr>
            <w:r w:rsidRPr="00BA5143">
              <w:rPr>
                <w:sz w:val="20"/>
                <w:szCs w:val="20"/>
                <w:lang w:val="en-US"/>
              </w:rPr>
              <w:t>Other Countries</w:t>
            </w:r>
          </w:p>
        </w:tc>
        <w:tc>
          <w:tcPr>
            <w:tcW w:w="800"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Total</w:t>
            </w:r>
          </w:p>
        </w:tc>
        <w:tc>
          <w:tcPr>
            <w:tcW w:w="1033"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 xml:space="preserve"> Ukraine</w:t>
            </w:r>
          </w:p>
        </w:tc>
        <w:tc>
          <w:tcPr>
            <w:tcW w:w="989" w:type="dxa"/>
            <w:tcBorders>
              <w:top w:val="nil"/>
              <w:left w:val="nil"/>
              <w:bottom w:val="single" w:sz="4" w:space="0" w:color="auto"/>
              <w:right w:val="single" w:sz="4" w:space="0" w:color="auto"/>
            </w:tcBorders>
            <w:noWrap/>
            <w:vAlign w:val="bottom"/>
            <w:hideMark/>
          </w:tcPr>
          <w:p w:rsidR="00BA262B" w:rsidRPr="00BA5143" w:rsidRDefault="00BA262B">
            <w:pPr>
              <w:ind w:left="-11"/>
              <w:jc w:val="center"/>
              <w:rPr>
                <w:sz w:val="20"/>
                <w:szCs w:val="20"/>
                <w:lang w:val="en-US"/>
              </w:rPr>
            </w:pPr>
            <w:r w:rsidRPr="00BA5143">
              <w:rPr>
                <w:sz w:val="20"/>
                <w:szCs w:val="20"/>
                <w:lang w:val="en-US"/>
              </w:rPr>
              <w:t>Other Countries</w:t>
            </w:r>
          </w:p>
        </w:tc>
        <w:tc>
          <w:tcPr>
            <w:tcW w:w="864" w:type="dxa"/>
            <w:tcBorders>
              <w:top w:val="nil"/>
              <w:left w:val="nil"/>
              <w:bottom w:val="single" w:sz="4" w:space="0" w:color="auto"/>
              <w:right w:val="single" w:sz="8" w:space="0" w:color="auto"/>
            </w:tcBorders>
            <w:noWrap/>
            <w:vAlign w:val="bottom"/>
            <w:hideMark/>
          </w:tcPr>
          <w:p w:rsidR="00BA262B" w:rsidRPr="00BA5143" w:rsidRDefault="00BA262B">
            <w:pPr>
              <w:jc w:val="center"/>
              <w:rPr>
                <w:sz w:val="20"/>
                <w:szCs w:val="20"/>
                <w:lang w:val="en-US"/>
              </w:rPr>
            </w:pPr>
            <w:r w:rsidRPr="00BA5143">
              <w:rPr>
                <w:sz w:val="20"/>
                <w:szCs w:val="20"/>
                <w:lang w:val="en-US"/>
              </w:rPr>
              <w:t>Total</w:t>
            </w:r>
          </w:p>
        </w:tc>
      </w:tr>
      <w:tr w:rsidR="00BA262B" w:rsidRPr="00BA5143" w:rsidTr="00BA262B">
        <w:trPr>
          <w:trHeight w:val="255"/>
        </w:trPr>
        <w:tc>
          <w:tcPr>
            <w:tcW w:w="802" w:type="dxa"/>
            <w:tcBorders>
              <w:top w:val="nil"/>
              <w:left w:val="single" w:sz="8" w:space="0" w:color="auto"/>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1</w:t>
            </w:r>
          </w:p>
        </w:tc>
        <w:tc>
          <w:tcPr>
            <w:tcW w:w="2359"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2</w:t>
            </w:r>
          </w:p>
        </w:tc>
        <w:tc>
          <w:tcPr>
            <w:tcW w:w="1330"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3</w:t>
            </w:r>
          </w:p>
        </w:tc>
        <w:tc>
          <w:tcPr>
            <w:tcW w:w="989"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4</w:t>
            </w:r>
          </w:p>
        </w:tc>
        <w:tc>
          <w:tcPr>
            <w:tcW w:w="800"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5</w:t>
            </w:r>
          </w:p>
        </w:tc>
        <w:tc>
          <w:tcPr>
            <w:tcW w:w="1033"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6</w:t>
            </w:r>
          </w:p>
        </w:tc>
        <w:tc>
          <w:tcPr>
            <w:tcW w:w="989" w:type="dxa"/>
            <w:tcBorders>
              <w:top w:val="nil"/>
              <w:left w:val="nil"/>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7</w:t>
            </w:r>
          </w:p>
        </w:tc>
        <w:tc>
          <w:tcPr>
            <w:tcW w:w="864" w:type="dxa"/>
            <w:tcBorders>
              <w:top w:val="nil"/>
              <w:left w:val="nil"/>
              <w:bottom w:val="single" w:sz="4" w:space="0" w:color="auto"/>
              <w:right w:val="single" w:sz="8" w:space="0" w:color="auto"/>
            </w:tcBorders>
            <w:noWrap/>
            <w:vAlign w:val="bottom"/>
            <w:hideMark/>
          </w:tcPr>
          <w:p w:rsidR="00BA262B" w:rsidRPr="00BA5143" w:rsidRDefault="00BA262B">
            <w:pPr>
              <w:jc w:val="center"/>
              <w:rPr>
                <w:sz w:val="20"/>
                <w:szCs w:val="20"/>
                <w:lang w:val="en-US"/>
              </w:rPr>
            </w:pPr>
            <w:r w:rsidRPr="00BA5143">
              <w:rPr>
                <w:sz w:val="20"/>
                <w:szCs w:val="20"/>
                <w:lang w:val="en-US"/>
              </w:rPr>
              <w:t>8</w:t>
            </w:r>
          </w:p>
        </w:tc>
      </w:tr>
      <w:tr w:rsidR="00BA262B" w:rsidRPr="00BA5143" w:rsidTr="00BA262B">
        <w:trPr>
          <w:trHeight w:val="255"/>
        </w:trPr>
        <w:tc>
          <w:tcPr>
            <w:tcW w:w="802" w:type="dxa"/>
            <w:tcBorders>
              <w:top w:val="nil"/>
              <w:left w:val="single" w:sz="8" w:space="0" w:color="auto"/>
              <w:bottom w:val="single" w:sz="4"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t>1</w:t>
            </w:r>
          </w:p>
        </w:tc>
        <w:tc>
          <w:tcPr>
            <w:tcW w:w="2359" w:type="dxa"/>
            <w:tcBorders>
              <w:top w:val="nil"/>
              <w:left w:val="nil"/>
              <w:bottom w:val="single" w:sz="4" w:space="0" w:color="auto"/>
              <w:right w:val="single" w:sz="4" w:space="0" w:color="auto"/>
            </w:tcBorders>
            <w:noWrap/>
            <w:hideMark/>
          </w:tcPr>
          <w:p w:rsidR="00BA262B" w:rsidRPr="00BA5143" w:rsidRDefault="00BA262B">
            <w:pPr>
              <w:rPr>
                <w:sz w:val="20"/>
                <w:szCs w:val="20"/>
                <w:lang w:val="en-US"/>
              </w:rPr>
            </w:pPr>
            <w:r w:rsidRPr="00BA5143">
              <w:rPr>
                <w:sz w:val="20"/>
                <w:szCs w:val="20"/>
                <w:lang w:val="en-US"/>
              </w:rPr>
              <w:t>Revenues from external customers</w:t>
            </w:r>
          </w:p>
        </w:tc>
        <w:tc>
          <w:tcPr>
            <w:tcW w:w="1330" w:type="dxa"/>
            <w:tcBorders>
              <w:top w:val="nil"/>
              <w:left w:val="nil"/>
              <w:bottom w:val="single" w:sz="4"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27 444</w:t>
            </w:r>
          </w:p>
        </w:tc>
        <w:tc>
          <w:tcPr>
            <w:tcW w:w="989" w:type="dxa"/>
            <w:tcBorders>
              <w:top w:val="nil"/>
              <w:left w:val="nil"/>
              <w:bottom w:val="single" w:sz="4"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w:t>
            </w:r>
          </w:p>
        </w:tc>
        <w:tc>
          <w:tcPr>
            <w:tcW w:w="800" w:type="dxa"/>
            <w:tcBorders>
              <w:top w:val="nil"/>
              <w:left w:val="nil"/>
              <w:bottom w:val="single" w:sz="4"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27 444</w:t>
            </w:r>
          </w:p>
        </w:tc>
        <w:tc>
          <w:tcPr>
            <w:tcW w:w="1033" w:type="dxa"/>
            <w:tcBorders>
              <w:top w:val="nil"/>
              <w:left w:val="nil"/>
              <w:bottom w:val="single" w:sz="4"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16 072</w:t>
            </w:r>
          </w:p>
        </w:tc>
        <w:tc>
          <w:tcPr>
            <w:tcW w:w="989" w:type="dxa"/>
            <w:tcBorders>
              <w:top w:val="nil"/>
              <w:left w:val="nil"/>
              <w:bottom w:val="single" w:sz="4"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w:t>
            </w:r>
          </w:p>
        </w:tc>
        <w:tc>
          <w:tcPr>
            <w:tcW w:w="864" w:type="dxa"/>
            <w:tcBorders>
              <w:top w:val="nil"/>
              <w:left w:val="nil"/>
              <w:bottom w:val="single" w:sz="4" w:space="0" w:color="auto"/>
              <w:right w:val="single" w:sz="8" w:space="0" w:color="auto"/>
            </w:tcBorders>
            <w:noWrap/>
            <w:vAlign w:val="bottom"/>
            <w:hideMark/>
          </w:tcPr>
          <w:p w:rsidR="00BA262B" w:rsidRPr="00BA5143" w:rsidRDefault="00BA262B">
            <w:pPr>
              <w:jc w:val="right"/>
              <w:rPr>
                <w:sz w:val="20"/>
                <w:szCs w:val="20"/>
                <w:lang w:val="en-US"/>
              </w:rPr>
            </w:pPr>
            <w:r w:rsidRPr="00BA5143">
              <w:rPr>
                <w:sz w:val="20"/>
                <w:szCs w:val="20"/>
                <w:lang w:val="en-US"/>
              </w:rPr>
              <w:t>16 072</w:t>
            </w:r>
          </w:p>
        </w:tc>
      </w:tr>
      <w:tr w:rsidR="00BA262B" w:rsidRPr="00BA5143" w:rsidTr="00BA262B">
        <w:trPr>
          <w:trHeight w:val="270"/>
        </w:trPr>
        <w:tc>
          <w:tcPr>
            <w:tcW w:w="802" w:type="dxa"/>
            <w:tcBorders>
              <w:top w:val="nil"/>
              <w:left w:val="single" w:sz="8" w:space="0" w:color="auto"/>
              <w:bottom w:val="single" w:sz="8" w:space="0" w:color="auto"/>
              <w:right w:val="single" w:sz="4" w:space="0" w:color="auto"/>
            </w:tcBorders>
            <w:noWrap/>
            <w:vAlign w:val="bottom"/>
            <w:hideMark/>
          </w:tcPr>
          <w:p w:rsidR="00BA262B" w:rsidRPr="00BA5143" w:rsidRDefault="00BA262B">
            <w:pPr>
              <w:jc w:val="center"/>
              <w:rPr>
                <w:sz w:val="20"/>
                <w:szCs w:val="20"/>
                <w:lang w:val="en-US"/>
              </w:rPr>
            </w:pPr>
            <w:r w:rsidRPr="00BA5143">
              <w:rPr>
                <w:sz w:val="20"/>
                <w:szCs w:val="20"/>
                <w:lang w:val="en-US"/>
              </w:rPr>
              <w:lastRenderedPageBreak/>
              <w:t>2</w:t>
            </w:r>
          </w:p>
        </w:tc>
        <w:tc>
          <w:tcPr>
            <w:tcW w:w="2359" w:type="dxa"/>
            <w:tcBorders>
              <w:top w:val="nil"/>
              <w:left w:val="nil"/>
              <w:bottom w:val="single" w:sz="8" w:space="0" w:color="auto"/>
              <w:right w:val="single" w:sz="4" w:space="0" w:color="auto"/>
            </w:tcBorders>
            <w:noWrap/>
            <w:hideMark/>
          </w:tcPr>
          <w:p w:rsidR="00BA262B" w:rsidRPr="00BA5143" w:rsidRDefault="00BA262B">
            <w:pPr>
              <w:rPr>
                <w:sz w:val="20"/>
                <w:szCs w:val="20"/>
                <w:lang w:val="en-US"/>
              </w:rPr>
            </w:pPr>
            <w:r w:rsidRPr="00BA5143">
              <w:rPr>
                <w:sz w:val="20"/>
                <w:szCs w:val="20"/>
                <w:lang w:val="en-US"/>
              </w:rPr>
              <w:t>Fixed assets</w:t>
            </w:r>
          </w:p>
        </w:tc>
        <w:tc>
          <w:tcPr>
            <w:tcW w:w="1330" w:type="dxa"/>
            <w:tcBorders>
              <w:top w:val="nil"/>
              <w:left w:val="nil"/>
              <w:bottom w:val="single" w:sz="8"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56 399</w:t>
            </w:r>
          </w:p>
        </w:tc>
        <w:tc>
          <w:tcPr>
            <w:tcW w:w="989" w:type="dxa"/>
            <w:tcBorders>
              <w:top w:val="nil"/>
              <w:left w:val="nil"/>
              <w:bottom w:val="single" w:sz="8"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w:t>
            </w:r>
          </w:p>
        </w:tc>
        <w:tc>
          <w:tcPr>
            <w:tcW w:w="800" w:type="dxa"/>
            <w:tcBorders>
              <w:top w:val="nil"/>
              <w:left w:val="nil"/>
              <w:bottom w:val="single" w:sz="8"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56 399</w:t>
            </w:r>
          </w:p>
        </w:tc>
        <w:tc>
          <w:tcPr>
            <w:tcW w:w="1033" w:type="dxa"/>
            <w:tcBorders>
              <w:top w:val="nil"/>
              <w:left w:val="nil"/>
              <w:bottom w:val="single" w:sz="8"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56 503</w:t>
            </w:r>
          </w:p>
        </w:tc>
        <w:tc>
          <w:tcPr>
            <w:tcW w:w="989" w:type="dxa"/>
            <w:tcBorders>
              <w:top w:val="nil"/>
              <w:left w:val="nil"/>
              <w:bottom w:val="single" w:sz="8" w:space="0" w:color="auto"/>
              <w:right w:val="single" w:sz="4" w:space="0" w:color="auto"/>
            </w:tcBorders>
            <w:noWrap/>
            <w:vAlign w:val="bottom"/>
            <w:hideMark/>
          </w:tcPr>
          <w:p w:rsidR="00BA262B" w:rsidRPr="00BA5143" w:rsidRDefault="00BA262B">
            <w:pPr>
              <w:jc w:val="right"/>
              <w:rPr>
                <w:sz w:val="20"/>
                <w:szCs w:val="20"/>
                <w:lang w:val="en-US"/>
              </w:rPr>
            </w:pPr>
            <w:r w:rsidRPr="00BA5143">
              <w:rPr>
                <w:sz w:val="20"/>
                <w:szCs w:val="20"/>
                <w:lang w:val="en-US"/>
              </w:rPr>
              <w:t>-</w:t>
            </w:r>
          </w:p>
        </w:tc>
        <w:tc>
          <w:tcPr>
            <w:tcW w:w="864" w:type="dxa"/>
            <w:tcBorders>
              <w:top w:val="nil"/>
              <w:left w:val="nil"/>
              <w:bottom w:val="single" w:sz="8" w:space="0" w:color="auto"/>
              <w:right w:val="single" w:sz="8" w:space="0" w:color="auto"/>
            </w:tcBorders>
            <w:noWrap/>
            <w:vAlign w:val="bottom"/>
            <w:hideMark/>
          </w:tcPr>
          <w:p w:rsidR="00BA262B" w:rsidRPr="00BA5143" w:rsidRDefault="00BA262B">
            <w:pPr>
              <w:jc w:val="right"/>
              <w:rPr>
                <w:sz w:val="20"/>
                <w:szCs w:val="20"/>
                <w:lang w:val="en-US"/>
              </w:rPr>
            </w:pPr>
            <w:r w:rsidRPr="00BA5143">
              <w:rPr>
                <w:sz w:val="20"/>
                <w:szCs w:val="20"/>
                <w:lang w:val="en-US"/>
              </w:rPr>
              <w:t>56 503</w:t>
            </w:r>
          </w:p>
        </w:tc>
      </w:tr>
    </w:tbl>
    <w:p w:rsidR="00D15590" w:rsidRPr="00BA5143" w:rsidRDefault="00D15590" w:rsidP="00060CBB">
      <w:pPr>
        <w:ind w:left="540"/>
        <w:jc w:val="right"/>
        <w:rPr>
          <w:bCs/>
          <w:sz w:val="20"/>
          <w:highlight w:val="yellow"/>
          <w:lang w:val="en-US" w:eastAsia="uk-UA"/>
        </w:rPr>
      </w:pPr>
    </w:p>
    <w:p w:rsidR="00725F29" w:rsidRPr="00BA5143" w:rsidRDefault="00B1167C" w:rsidP="00341607">
      <w:pPr>
        <w:rPr>
          <w:b/>
          <w:lang w:val="en-US"/>
        </w:rPr>
      </w:pPr>
      <w:r w:rsidRPr="00BA5143">
        <w:rPr>
          <w:b/>
          <w:lang w:val="en-US"/>
        </w:rPr>
        <w:t>NOTE 25. FINANCIAL RISK MANAGEMENT</w:t>
      </w:r>
    </w:p>
    <w:p w:rsidR="00B1167C" w:rsidRPr="00BA5143" w:rsidRDefault="00B1167C" w:rsidP="00341607">
      <w:pPr>
        <w:rPr>
          <w:lang w:val="en-US"/>
        </w:rPr>
      </w:pPr>
    </w:p>
    <w:p w:rsidR="007B2331" w:rsidRPr="00BA5143" w:rsidRDefault="00B1167C" w:rsidP="00341607">
      <w:pPr>
        <w:jc w:val="both"/>
        <w:rPr>
          <w:b/>
          <w:lang w:val="en-US"/>
        </w:rPr>
      </w:pPr>
      <w:r w:rsidRPr="00BA5143">
        <w:rPr>
          <w:b/>
          <w:lang w:val="en-US"/>
        </w:rPr>
        <w:t>Credit risk</w:t>
      </w:r>
    </w:p>
    <w:p w:rsidR="007B2331" w:rsidRPr="00BA5143" w:rsidRDefault="007B2331" w:rsidP="00341607">
      <w:pPr>
        <w:jc w:val="both"/>
        <w:rPr>
          <w:b/>
          <w:lang w:val="en-US"/>
        </w:rPr>
      </w:pPr>
    </w:p>
    <w:p w:rsidR="00B1167C" w:rsidRPr="00BA5143" w:rsidRDefault="00B1167C" w:rsidP="00B1167C">
      <w:pPr>
        <w:ind w:firstLine="708"/>
        <w:jc w:val="both"/>
        <w:rPr>
          <w:lang w:val="en-US"/>
        </w:rPr>
      </w:pPr>
      <w:r w:rsidRPr="00BA5143">
        <w:rPr>
          <w:lang w:val="en-US"/>
        </w:rPr>
        <w:t>The Bank determines the credit risk as the probability of occurrence of losses or additional losses or failure to receive the planned revenues as a result of failure by the debtor / counterparty to assume obligations under the terms of the contract. Issues of acceptance / avoidance of credit risks within the limits of their powers shall be resolved by the Supervisory Board of the Bank, the Management Board, the Credit Committee, the Risk Management Department, the Credit Department and other authorized departments of the Bank.</w:t>
      </w:r>
    </w:p>
    <w:p w:rsidR="00B1167C" w:rsidRPr="00BA5143" w:rsidRDefault="00B1167C" w:rsidP="00B1167C">
      <w:pPr>
        <w:ind w:firstLine="708"/>
        <w:jc w:val="both"/>
        <w:rPr>
          <w:lang w:val="en-US"/>
        </w:rPr>
      </w:pPr>
      <w:r w:rsidRPr="00BA5143">
        <w:rPr>
          <w:lang w:val="en-US"/>
        </w:rPr>
        <w:t>In conducting credit operations, the Bank is guided by the requirements for limiting the credit risk established by the National Bank of Ukraine and the internal limits of credit risk, which are approved by the Supervisory Board.</w:t>
      </w:r>
    </w:p>
    <w:p w:rsidR="00571EC0" w:rsidRPr="00BA5143" w:rsidRDefault="00B1167C" w:rsidP="00B1167C">
      <w:pPr>
        <w:ind w:firstLine="708"/>
        <w:jc w:val="both"/>
        <w:rPr>
          <w:lang w:val="en-US"/>
        </w:rPr>
      </w:pPr>
      <w:r w:rsidRPr="00BA5143">
        <w:rPr>
          <w:lang w:val="en-US"/>
        </w:rPr>
        <w:t>During the reporting year, the Bank complied with both the internal standards of credit risk and those established by the National Bank of Ukraine:</w:t>
      </w:r>
    </w:p>
    <w:p w:rsidR="00BA262B" w:rsidRPr="00BA5143" w:rsidRDefault="00BA262B" w:rsidP="00B1167C">
      <w:pPr>
        <w:ind w:firstLine="708"/>
        <w:jc w:val="both"/>
        <w:rPr>
          <w:lang w:val="en-US"/>
        </w:rPr>
      </w:pPr>
    </w:p>
    <w:p w:rsidR="00BA262B" w:rsidRPr="00BA5143" w:rsidRDefault="00BA262B" w:rsidP="00B1167C">
      <w:pPr>
        <w:ind w:firstLine="708"/>
        <w:jc w:val="both"/>
        <w:rPr>
          <w:lang w:val="en-US"/>
        </w:rPr>
      </w:pPr>
    </w:p>
    <w:tbl>
      <w:tblPr>
        <w:tblStyle w:val="af4"/>
        <w:tblW w:w="0" w:type="auto"/>
        <w:tblLook w:val="01E0"/>
      </w:tblPr>
      <w:tblGrid>
        <w:gridCol w:w="1870"/>
        <w:gridCol w:w="2644"/>
        <w:gridCol w:w="2275"/>
        <w:gridCol w:w="2480"/>
      </w:tblGrid>
      <w:tr w:rsidR="00BA262B" w:rsidRPr="006C58AD" w:rsidTr="00A4695E">
        <w:tc>
          <w:tcPr>
            <w:tcW w:w="1870" w:type="dxa"/>
            <w:vAlign w:val="center"/>
          </w:tcPr>
          <w:p w:rsidR="00BA262B" w:rsidRPr="00BA5143" w:rsidRDefault="00BA262B" w:rsidP="00BA262B">
            <w:pPr>
              <w:rPr>
                <w:lang w:val="en-US"/>
              </w:rPr>
            </w:pPr>
            <w:r w:rsidRPr="00BA5143">
              <w:rPr>
                <w:b/>
                <w:lang w:val="en-US"/>
              </w:rPr>
              <w:t>Reporting date</w:t>
            </w:r>
          </w:p>
          <w:p w:rsidR="00BA262B" w:rsidRPr="00BA5143" w:rsidRDefault="00BA262B" w:rsidP="00BA262B">
            <w:pPr>
              <w:rPr>
                <w:b/>
                <w:lang w:val="en-US"/>
              </w:rPr>
            </w:pPr>
          </w:p>
          <w:p w:rsidR="00BA262B" w:rsidRPr="00BA5143" w:rsidRDefault="00BA262B" w:rsidP="00BA262B">
            <w:pPr>
              <w:rPr>
                <w:b/>
                <w:lang w:val="en-US"/>
              </w:rPr>
            </w:pPr>
          </w:p>
          <w:p w:rsidR="00BA262B" w:rsidRPr="00BA5143" w:rsidRDefault="00BA262B" w:rsidP="00BA262B">
            <w:pPr>
              <w:rPr>
                <w:b/>
                <w:lang w:val="en-US"/>
              </w:rPr>
            </w:pPr>
          </w:p>
          <w:p w:rsidR="00BA262B" w:rsidRPr="00BA5143" w:rsidRDefault="00BA262B" w:rsidP="00BA262B">
            <w:pPr>
              <w:rPr>
                <w:lang w:val="en-US"/>
              </w:rPr>
            </w:pPr>
          </w:p>
        </w:tc>
        <w:tc>
          <w:tcPr>
            <w:tcW w:w="2644" w:type="dxa"/>
            <w:vAlign w:val="center"/>
          </w:tcPr>
          <w:p w:rsidR="00BA262B" w:rsidRPr="00BA5143" w:rsidRDefault="00BA262B" w:rsidP="00BA262B">
            <w:pPr>
              <w:jc w:val="center"/>
              <w:rPr>
                <w:b/>
                <w:bCs/>
                <w:lang w:val="en-US"/>
              </w:rPr>
            </w:pPr>
            <w:r w:rsidRPr="00BA5143">
              <w:rPr>
                <w:b/>
                <w:bCs/>
                <w:lang w:val="en-US"/>
              </w:rPr>
              <w:t>H7 - standard of the maximum amount of credit risk for 1 counterparty,</w:t>
            </w:r>
          </w:p>
          <w:p w:rsidR="00BA262B" w:rsidRPr="00BA5143" w:rsidRDefault="00BA262B" w:rsidP="00BA262B">
            <w:pPr>
              <w:jc w:val="center"/>
              <w:rPr>
                <w:b/>
                <w:bCs/>
                <w:lang w:val="en-US"/>
              </w:rPr>
            </w:pPr>
            <w:r w:rsidRPr="00BA5143">
              <w:rPr>
                <w:b/>
                <w:bCs/>
                <w:lang w:val="en-US"/>
              </w:rPr>
              <w:t>not more than 25%</w:t>
            </w:r>
          </w:p>
        </w:tc>
        <w:tc>
          <w:tcPr>
            <w:tcW w:w="2275" w:type="dxa"/>
            <w:vAlign w:val="center"/>
          </w:tcPr>
          <w:p w:rsidR="00BA262B" w:rsidRPr="00BA5143" w:rsidRDefault="00BA262B" w:rsidP="00BA262B">
            <w:pPr>
              <w:jc w:val="center"/>
              <w:rPr>
                <w:b/>
                <w:bCs/>
                <w:lang w:val="en-US"/>
              </w:rPr>
            </w:pPr>
            <w:r w:rsidRPr="00BA5143">
              <w:rPr>
                <w:b/>
                <w:bCs/>
                <w:lang w:val="en-US"/>
              </w:rPr>
              <w:t>Н8 - standard of large credit risks, not more than 800%</w:t>
            </w:r>
          </w:p>
        </w:tc>
        <w:tc>
          <w:tcPr>
            <w:tcW w:w="2480" w:type="dxa"/>
            <w:vAlign w:val="center"/>
          </w:tcPr>
          <w:p w:rsidR="00BA262B" w:rsidRPr="00BA5143" w:rsidRDefault="00BA262B" w:rsidP="00BA262B">
            <w:pPr>
              <w:jc w:val="center"/>
              <w:rPr>
                <w:b/>
                <w:bCs/>
                <w:lang w:val="en-US"/>
              </w:rPr>
            </w:pPr>
            <w:r w:rsidRPr="00BA5143">
              <w:rPr>
                <w:b/>
                <w:bCs/>
                <w:lang w:val="en-US"/>
              </w:rPr>
              <w:t>Н9 - standard of the maximum amount of credit risk for transactions with the bank-connected persons, not more than 25%</w:t>
            </w:r>
          </w:p>
          <w:p w:rsidR="00BA262B" w:rsidRPr="00BA5143" w:rsidRDefault="00BA262B" w:rsidP="00BA262B">
            <w:pPr>
              <w:jc w:val="center"/>
              <w:rPr>
                <w:b/>
                <w:bCs/>
                <w:lang w:val="en-US"/>
              </w:rPr>
            </w:pPr>
            <w:r w:rsidRPr="00BA5143">
              <w:rPr>
                <w:b/>
                <w:bCs/>
                <w:lang w:val="en-US"/>
              </w:rPr>
              <w:t> </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01.02.2018</w:t>
            </w:r>
          </w:p>
        </w:tc>
        <w:tc>
          <w:tcPr>
            <w:tcW w:w="2644" w:type="dxa"/>
            <w:vAlign w:val="bottom"/>
          </w:tcPr>
          <w:p w:rsidR="00571EC0" w:rsidRPr="00BA5143" w:rsidRDefault="00571EC0" w:rsidP="00341607">
            <w:pPr>
              <w:jc w:val="center"/>
              <w:rPr>
                <w:lang w:val="en-US"/>
              </w:rPr>
            </w:pPr>
            <w:r w:rsidRPr="00BA5143">
              <w:rPr>
                <w:lang w:val="en-US"/>
              </w:rPr>
              <w:t>0,03%</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01.03.2018</w:t>
            </w:r>
          </w:p>
        </w:tc>
        <w:tc>
          <w:tcPr>
            <w:tcW w:w="2644" w:type="dxa"/>
            <w:vAlign w:val="bottom"/>
          </w:tcPr>
          <w:p w:rsidR="00571EC0" w:rsidRPr="00BA5143" w:rsidRDefault="00571EC0" w:rsidP="00341607">
            <w:pPr>
              <w:jc w:val="center"/>
              <w:rPr>
                <w:lang w:val="en-US"/>
              </w:rPr>
            </w:pPr>
            <w:r w:rsidRPr="00BA5143">
              <w:rPr>
                <w:lang w:val="en-US"/>
              </w:rPr>
              <w:t>0,02%</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01.04.2018</w:t>
            </w:r>
          </w:p>
        </w:tc>
        <w:tc>
          <w:tcPr>
            <w:tcW w:w="2644" w:type="dxa"/>
            <w:vAlign w:val="bottom"/>
          </w:tcPr>
          <w:p w:rsidR="00571EC0" w:rsidRPr="00BA5143" w:rsidRDefault="00571EC0" w:rsidP="00341607">
            <w:pPr>
              <w:jc w:val="center"/>
              <w:rPr>
                <w:lang w:val="en-US"/>
              </w:rPr>
            </w:pPr>
            <w:r w:rsidRPr="00BA5143">
              <w:rPr>
                <w:lang w:val="en-US"/>
              </w:rPr>
              <w:t>0,02%</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01.05.2018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01.06.2018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01.07.2018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01.08.2018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01.09.2018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01.10.2018</w:t>
            </w:r>
          </w:p>
        </w:tc>
        <w:tc>
          <w:tcPr>
            <w:tcW w:w="2644" w:type="dxa"/>
            <w:vAlign w:val="bottom"/>
          </w:tcPr>
          <w:p w:rsidR="00571EC0" w:rsidRPr="00BA5143" w:rsidRDefault="00571EC0" w:rsidP="00341607">
            <w:pPr>
              <w:jc w:val="center"/>
              <w:rPr>
                <w:lang w:val="en-US"/>
              </w:rPr>
            </w:pPr>
            <w:r w:rsidRPr="00BA5143">
              <w:rPr>
                <w:lang w:val="en-US"/>
              </w:rPr>
              <w:t>0,01%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01.11.2018</w:t>
            </w:r>
          </w:p>
        </w:tc>
        <w:tc>
          <w:tcPr>
            <w:tcW w:w="2644" w:type="dxa"/>
            <w:vAlign w:val="bottom"/>
          </w:tcPr>
          <w:p w:rsidR="00571EC0" w:rsidRPr="00BA5143" w:rsidRDefault="00571EC0" w:rsidP="00341607">
            <w:pPr>
              <w:jc w:val="center"/>
              <w:rPr>
                <w:lang w:val="en-US"/>
              </w:rPr>
            </w:pPr>
            <w:r w:rsidRPr="00BA5143">
              <w:rPr>
                <w:lang w:val="en-US"/>
              </w:rPr>
              <w:t>0,11%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01.12.2018</w:t>
            </w:r>
          </w:p>
        </w:tc>
        <w:tc>
          <w:tcPr>
            <w:tcW w:w="2644" w:type="dxa"/>
            <w:vAlign w:val="bottom"/>
          </w:tcPr>
          <w:p w:rsidR="00571EC0" w:rsidRPr="00BA5143" w:rsidRDefault="00571EC0" w:rsidP="00341607">
            <w:pPr>
              <w:jc w:val="center"/>
              <w:rPr>
                <w:lang w:val="en-US"/>
              </w:rPr>
            </w:pPr>
            <w:r w:rsidRPr="00BA5143">
              <w:rPr>
                <w:lang w:val="en-US"/>
              </w:rPr>
              <w:t>0,11%</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r w:rsidR="00571EC0" w:rsidRPr="00BA5143" w:rsidTr="00A4695E">
        <w:tc>
          <w:tcPr>
            <w:tcW w:w="1870" w:type="dxa"/>
            <w:vAlign w:val="bottom"/>
          </w:tcPr>
          <w:p w:rsidR="00571EC0" w:rsidRPr="00BA5143" w:rsidRDefault="00571EC0" w:rsidP="00341607">
            <w:pPr>
              <w:jc w:val="center"/>
              <w:rPr>
                <w:lang w:val="en-US"/>
              </w:rPr>
            </w:pPr>
            <w:r w:rsidRPr="00BA5143">
              <w:rPr>
                <w:lang w:val="en-US"/>
              </w:rPr>
              <w:t>01.01.2019</w:t>
            </w:r>
          </w:p>
        </w:tc>
        <w:tc>
          <w:tcPr>
            <w:tcW w:w="2644" w:type="dxa"/>
            <w:vAlign w:val="bottom"/>
          </w:tcPr>
          <w:p w:rsidR="00571EC0" w:rsidRPr="00BA5143" w:rsidRDefault="00571EC0" w:rsidP="00341607">
            <w:pPr>
              <w:jc w:val="center"/>
              <w:rPr>
                <w:lang w:val="en-US"/>
              </w:rPr>
            </w:pPr>
            <w:r w:rsidRPr="00BA5143">
              <w:rPr>
                <w:lang w:val="en-US"/>
              </w:rPr>
              <w:t>0,80%</w:t>
            </w:r>
          </w:p>
        </w:tc>
        <w:tc>
          <w:tcPr>
            <w:tcW w:w="2275" w:type="dxa"/>
            <w:vAlign w:val="bottom"/>
          </w:tcPr>
          <w:p w:rsidR="00571EC0" w:rsidRPr="00BA5143" w:rsidRDefault="00571EC0" w:rsidP="00341607">
            <w:pPr>
              <w:jc w:val="center"/>
              <w:rPr>
                <w:lang w:val="en-US"/>
              </w:rPr>
            </w:pPr>
            <w:r w:rsidRPr="00BA5143">
              <w:rPr>
                <w:lang w:val="en-US"/>
              </w:rPr>
              <w:t>0%</w:t>
            </w:r>
          </w:p>
        </w:tc>
        <w:tc>
          <w:tcPr>
            <w:tcW w:w="2480" w:type="dxa"/>
            <w:vAlign w:val="bottom"/>
          </w:tcPr>
          <w:p w:rsidR="00571EC0" w:rsidRPr="00BA5143" w:rsidRDefault="00571EC0" w:rsidP="00341607">
            <w:pPr>
              <w:jc w:val="center"/>
              <w:rPr>
                <w:lang w:val="en-US"/>
              </w:rPr>
            </w:pPr>
            <w:r w:rsidRPr="00BA5143">
              <w:rPr>
                <w:lang w:val="en-US"/>
              </w:rPr>
              <w:t>0%</w:t>
            </w:r>
          </w:p>
        </w:tc>
      </w:tr>
    </w:tbl>
    <w:p w:rsidR="00D30A30" w:rsidRPr="00BA5143" w:rsidRDefault="00A4695E" w:rsidP="00A4695E">
      <w:pPr>
        <w:ind w:firstLine="567"/>
        <w:jc w:val="both"/>
        <w:rPr>
          <w:lang w:val="en-US"/>
        </w:rPr>
      </w:pPr>
      <w:r w:rsidRPr="00BA5143">
        <w:rPr>
          <w:lang w:val="en-US"/>
        </w:rPr>
        <w:t>During 2018, the level and impact of credit risk was insignificant, as loans to banks and customers were not provided by the Bank. The credit risk that was reflected in the forms of statistical reporting of the Bank was due to the presence of receivables.</w:t>
      </w:r>
    </w:p>
    <w:p w:rsidR="00A4695E" w:rsidRDefault="00A4695E" w:rsidP="00341607">
      <w:pPr>
        <w:jc w:val="both"/>
        <w:rPr>
          <w:b/>
          <w:highlight w:val="yellow"/>
          <w:lang w:val="en-US"/>
        </w:rPr>
      </w:pPr>
    </w:p>
    <w:p w:rsidR="00315869" w:rsidRPr="00BA5143" w:rsidRDefault="00315869" w:rsidP="00341607">
      <w:pPr>
        <w:jc w:val="both"/>
        <w:rPr>
          <w:b/>
          <w:highlight w:val="yellow"/>
          <w:lang w:val="en-US"/>
        </w:rPr>
      </w:pPr>
    </w:p>
    <w:p w:rsidR="00CE7AAD" w:rsidRPr="00BA5143" w:rsidRDefault="00A4695E" w:rsidP="00CE7AAD">
      <w:pPr>
        <w:jc w:val="both"/>
        <w:rPr>
          <w:b/>
          <w:lang w:val="en-US"/>
        </w:rPr>
      </w:pPr>
      <w:r w:rsidRPr="00BA5143">
        <w:rPr>
          <w:b/>
          <w:lang w:val="en-US"/>
        </w:rPr>
        <w:t>Market risk</w:t>
      </w:r>
    </w:p>
    <w:p w:rsidR="00A4695E" w:rsidRPr="00BA5143" w:rsidRDefault="00A4695E" w:rsidP="00CE7AAD">
      <w:pPr>
        <w:jc w:val="both"/>
        <w:rPr>
          <w:highlight w:val="yellow"/>
          <w:lang w:val="en-US"/>
        </w:rPr>
      </w:pPr>
    </w:p>
    <w:p w:rsidR="00A4695E" w:rsidRPr="00BA5143" w:rsidRDefault="00A4695E" w:rsidP="00A4695E">
      <w:pPr>
        <w:pStyle w:val="aa"/>
        <w:tabs>
          <w:tab w:val="center" w:pos="284"/>
        </w:tabs>
        <w:ind w:right="-58" w:firstLine="567"/>
        <w:jc w:val="both"/>
        <w:rPr>
          <w:sz w:val="24"/>
          <w:szCs w:val="24"/>
          <w:lang w:val="en-US"/>
        </w:rPr>
      </w:pPr>
      <w:r w:rsidRPr="00BA5143">
        <w:rPr>
          <w:sz w:val="24"/>
          <w:szCs w:val="24"/>
          <w:lang w:val="en-US"/>
        </w:rPr>
        <w:t>Market risk or position risk is the present or potential risk for revenues and capital arising from the Bank adopting positions in securities, currencies, commodities and derivatives. Market risk arises as a result of the uncertainty of the financial result in the future due to the variability of factors that determine this result - adverse changes in interest rates, fluctuations in the market value of financial instruments, changes in foreign exchange rates, etc.</w:t>
      </w:r>
    </w:p>
    <w:p w:rsidR="006D7C75" w:rsidRPr="00BA5143" w:rsidRDefault="00A4695E" w:rsidP="006D7C75">
      <w:pPr>
        <w:pStyle w:val="aa"/>
        <w:tabs>
          <w:tab w:val="clear" w:pos="4153"/>
          <w:tab w:val="center" w:pos="284"/>
        </w:tabs>
        <w:ind w:right="-58" w:firstLine="567"/>
        <w:jc w:val="both"/>
        <w:rPr>
          <w:sz w:val="24"/>
          <w:szCs w:val="24"/>
          <w:lang w:val="en-US"/>
        </w:rPr>
      </w:pPr>
      <w:r w:rsidRPr="00BA5143">
        <w:rPr>
          <w:sz w:val="24"/>
          <w:szCs w:val="24"/>
          <w:lang w:val="en-US"/>
        </w:rPr>
        <w:lastRenderedPageBreak/>
        <w:t>The main risk of market risk, as well as any financial risk, is that it leads to instability of cash flows over time. This, in the final analysis, has a significant impact on the Bank's key performance indicators, and, above all, on its financial sustainability.</w:t>
      </w:r>
    </w:p>
    <w:p w:rsidR="006D7C75" w:rsidRPr="00BA5143" w:rsidRDefault="006D7C75" w:rsidP="006D7C75">
      <w:pPr>
        <w:jc w:val="both"/>
        <w:rPr>
          <w:lang w:val="en-US"/>
        </w:rPr>
      </w:pPr>
      <w:r w:rsidRPr="00BA5143">
        <w:rPr>
          <w:lang w:val="en-US"/>
        </w:rPr>
        <w:t xml:space="preserve">The Bank assumes the risk for a certain fee. Profit is a reward for a well-taken risk. Therefore, the analysis of the structure of risk, its assessment, management and accounting </w:t>
      </w:r>
      <w:r w:rsidR="00201937" w:rsidRPr="00BA5143">
        <w:rPr>
          <w:lang w:val="en-US"/>
        </w:rPr>
        <w:t>are</w:t>
      </w:r>
      <w:r w:rsidRPr="00BA5143">
        <w:rPr>
          <w:lang w:val="en-US"/>
        </w:rPr>
        <w:t xml:space="preserve"> an integral part of the Bank's policy and strategy. Market risk is multicomponent and is closely related to many types of risks, but mainly such as interest, stock (price) and monetary.</w:t>
      </w:r>
    </w:p>
    <w:p w:rsidR="006D7C75" w:rsidRPr="00BA5143" w:rsidRDefault="006D7C75" w:rsidP="006D7C75">
      <w:pPr>
        <w:jc w:val="both"/>
        <w:rPr>
          <w:lang w:val="en-US"/>
        </w:rPr>
      </w:pPr>
      <w:r w:rsidRPr="00BA5143">
        <w:rPr>
          <w:lang w:val="en-US"/>
        </w:rPr>
        <w:t>The aggregate market risk is defined as the sum of all components of market risk:</w:t>
      </w:r>
    </w:p>
    <w:p w:rsidR="006D7C75" w:rsidRPr="00BA5143" w:rsidRDefault="006D7C75" w:rsidP="006D7C75">
      <w:pPr>
        <w:pStyle w:val="afc"/>
        <w:numPr>
          <w:ilvl w:val="0"/>
          <w:numId w:val="35"/>
        </w:numPr>
        <w:jc w:val="both"/>
        <w:rPr>
          <w:lang w:val="en-US"/>
        </w:rPr>
      </w:pPr>
      <w:r w:rsidRPr="00BA5143">
        <w:rPr>
          <w:lang w:val="en-US"/>
        </w:rPr>
        <w:t>the size of risk on financial instruments sensitive to changes in interest rates (interest rate risk);</w:t>
      </w:r>
    </w:p>
    <w:p w:rsidR="006D7C75" w:rsidRPr="00BA5143" w:rsidRDefault="006D7C75" w:rsidP="006D7C75">
      <w:pPr>
        <w:pStyle w:val="afc"/>
        <w:numPr>
          <w:ilvl w:val="0"/>
          <w:numId w:val="35"/>
        </w:numPr>
        <w:jc w:val="both"/>
        <w:rPr>
          <w:lang w:val="en-US"/>
        </w:rPr>
      </w:pPr>
      <w:r w:rsidRPr="00BA5143">
        <w:rPr>
          <w:lang w:val="en-US"/>
        </w:rPr>
        <w:t>the size of the risk on open positions of the bank in foreign currencies and bank metals (currency risk);</w:t>
      </w:r>
    </w:p>
    <w:p w:rsidR="006D7C75" w:rsidRPr="00BA5143" w:rsidRDefault="006D7C75" w:rsidP="006D7C75">
      <w:pPr>
        <w:pStyle w:val="afc"/>
        <w:numPr>
          <w:ilvl w:val="0"/>
          <w:numId w:val="35"/>
        </w:numPr>
        <w:jc w:val="both"/>
        <w:rPr>
          <w:lang w:val="en-US"/>
        </w:rPr>
      </w:pPr>
      <w:r w:rsidRPr="00BA5143">
        <w:rPr>
          <w:lang w:val="en-US"/>
        </w:rPr>
        <w:t>the size of the risk for financial instruments sensitive to changes in market prices for stock values ​</w:t>
      </w:r>
      <w:r w:rsidR="00201937" w:rsidRPr="00BA5143">
        <w:rPr>
          <w:lang w:val="en-US"/>
        </w:rPr>
        <w:t>​ (</w:t>
      </w:r>
      <w:r w:rsidRPr="00BA5143">
        <w:rPr>
          <w:lang w:val="en-US"/>
        </w:rPr>
        <w:t>stock risk).</w:t>
      </w:r>
    </w:p>
    <w:p w:rsidR="006D7C75" w:rsidRPr="00BA5143" w:rsidRDefault="006D7C75" w:rsidP="006D7C75">
      <w:pPr>
        <w:ind w:firstLine="567"/>
        <w:jc w:val="both"/>
        <w:rPr>
          <w:lang w:val="en-US"/>
        </w:rPr>
      </w:pPr>
      <w:r w:rsidRPr="00BA5143">
        <w:rPr>
          <w:lang w:val="en-US"/>
        </w:rPr>
        <w:t>The quantitative assessment of market risk is limited to determining the amount that the Bank may lose as a result of the combination of the above operations. Such an estimate is the limit of loss for a certain period, expressed in monetary units.</w:t>
      </w:r>
    </w:p>
    <w:p w:rsidR="006D7C75" w:rsidRPr="00BA5143" w:rsidRDefault="006D7C75" w:rsidP="006D7C75">
      <w:pPr>
        <w:ind w:firstLine="567"/>
        <w:jc w:val="both"/>
        <w:rPr>
          <w:lang w:val="en-US"/>
        </w:rPr>
      </w:pPr>
      <w:r w:rsidRPr="00BA5143">
        <w:rPr>
          <w:lang w:val="en-US"/>
        </w:rPr>
        <w:t>In order to manage market risk, the Bank applies the following instruments:</w:t>
      </w:r>
    </w:p>
    <w:p w:rsidR="006D7C75" w:rsidRPr="00BA5143" w:rsidRDefault="006D7C75" w:rsidP="006D7C75">
      <w:pPr>
        <w:pStyle w:val="afc"/>
        <w:numPr>
          <w:ilvl w:val="0"/>
          <w:numId w:val="35"/>
        </w:numPr>
        <w:jc w:val="both"/>
        <w:rPr>
          <w:lang w:val="en-US"/>
        </w:rPr>
      </w:pPr>
      <w:r w:rsidRPr="00BA5143">
        <w:rPr>
          <w:lang w:val="en-US"/>
        </w:rPr>
        <w:t>establishment of a limit on the total size of the currency position;</w:t>
      </w:r>
    </w:p>
    <w:p w:rsidR="006D7C75" w:rsidRPr="00BA5143" w:rsidRDefault="006D7C75" w:rsidP="006D7C75">
      <w:pPr>
        <w:pStyle w:val="afc"/>
        <w:numPr>
          <w:ilvl w:val="0"/>
          <w:numId w:val="35"/>
        </w:numPr>
        <w:jc w:val="both"/>
        <w:rPr>
          <w:lang w:val="en-US"/>
        </w:rPr>
      </w:pPr>
      <w:r w:rsidRPr="00BA5143">
        <w:rPr>
          <w:lang w:val="en-US"/>
        </w:rPr>
        <w:t>establishment of limits on investments in securities and assessment of volatility of quotations of securities;</w:t>
      </w:r>
    </w:p>
    <w:p w:rsidR="006D7C75" w:rsidRPr="00BA5143" w:rsidRDefault="006D7C75" w:rsidP="006D7C75">
      <w:pPr>
        <w:pStyle w:val="afc"/>
        <w:numPr>
          <w:ilvl w:val="0"/>
          <w:numId w:val="35"/>
        </w:numPr>
        <w:jc w:val="both"/>
        <w:rPr>
          <w:lang w:val="en-US"/>
        </w:rPr>
      </w:pPr>
      <w:r w:rsidRPr="00BA5143">
        <w:rPr>
          <w:lang w:val="en-US"/>
        </w:rPr>
        <w:t>unplanned revision of the limits in the event of a sharp change in market conditions or significant reduction of the Bank's resource base;</w:t>
      </w:r>
    </w:p>
    <w:p w:rsidR="006D7C75" w:rsidRPr="00BA5143" w:rsidRDefault="006D7C75" w:rsidP="006D7C75">
      <w:pPr>
        <w:pStyle w:val="afc"/>
        <w:numPr>
          <w:ilvl w:val="0"/>
          <w:numId w:val="35"/>
        </w:numPr>
        <w:jc w:val="both"/>
        <w:rPr>
          <w:lang w:val="en-US"/>
        </w:rPr>
      </w:pPr>
      <w:r w:rsidRPr="00BA5143">
        <w:rPr>
          <w:lang w:val="en-US"/>
        </w:rPr>
        <w:t>formation of reserves for covering possible losses.</w:t>
      </w:r>
    </w:p>
    <w:p w:rsidR="002401CF" w:rsidRPr="00BA5143" w:rsidRDefault="006D7C75" w:rsidP="006D7C75">
      <w:pPr>
        <w:ind w:firstLine="567"/>
        <w:jc w:val="both"/>
        <w:rPr>
          <w:lang w:val="en-US"/>
        </w:rPr>
      </w:pPr>
      <w:r w:rsidRPr="00BA5143">
        <w:rPr>
          <w:lang w:val="en-US"/>
        </w:rPr>
        <w:t>According to the internal "Regulation on market risk management", the total amount of potential losses of the Bank as a result of the implementation of market risks should not exceed 15% of the regulatory capital of the Bank.</w:t>
      </w:r>
    </w:p>
    <w:p w:rsidR="006D7C75" w:rsidRPr="00BA5143" w:rsidRDefault="006D7C75" w:rsidP="006D7C75">
      <w:pPr>
        <w:jc w:val="both"/>
        <w:rPr>
          <w:b/>
          <w:lang w:val="en-US"/>
        </w:rPr>
      </w:pPr>
    </w:p>
    <w:p w:rsidR="00201DD6" w:rsidRPr="00BA5143" w:rsidRDefault="006D7C75" w:rsidP="002401CF">
      <w:pPr>
        <w:ind w:firstLine="708"/>
        <w:jc w:val="both"/>
        <w:rPr>
          <w:b/>
          <w:lang w:val="en-US"/>
        </w:rPr>
      </w:pPr>
      <w:r w:rsidRPr="00BA5143">
        <w:rPr>
          <w:b/>
          <w:lang w:val="en-US"/>
        </w:rPr>
        <w:t>Currency risk</w:t>
      </w:r>
    </w:p>
    <w:p w:rsidR="006D7C75" w:rsidRPr="00BA5143" w:rsidRDefault="006D7C75" w:rsidP="002401CF">
      <w:pPr>
        <w:ind w:firstLine="708"/>
        <w:jc w:val="both"/>
        <w:rPr>
          <w:lang w:val="en-US"/>
        </w:rPr>
      </w:pPr>
    </w:p>
    <w:p w:rsidR="006D7C75" w:rsidRPr="00BA5143" w:rsidRDefault="006D7C75" w:rsidP="006D7C75">
      <w:pPr>
        <w:ind w:firstLine="567"/>
        <w:jc w:val="both"/>
        <w:rPr>
          <w:lang w:val="en-US"/>
        </w:rPr>
      </w:pPr>
      <w:r w:rsidRPr="00BA5143">
        <w:rPr>
          <w:lang w:val="en-US"/>
        </w:rPr>
        <w:t>Currency risk arises due to unfavorable fluctuations in foreign exchange rates affecting assets, liabilities and off-balance sheet items contained in the Bank's trading and bank books. The Bank's exposure to currency risk is determined by the Bank's open currency position in different foreign currencies (that is, the degree of imbalance between the balance sheet and off-balance sheet items) and the dynamics of exchange rates, which is determined by the state of the market. The Bank regulates its activities regarding the management of the currency position in accordance with the Resolution of the Board of the National Bank of Ukraine dated August 12, 2005, No. 290 (with amendments and additions) and separate regulatory documents, which set the limits of the open currency position.</w:t>
      </w:r>
    </w:p>
    <w:p w:rsidR="006D7C75" w:rsidRPr="00BA5143" w:rsidRDefault="006D7C75" w:rsidP="006D7C75">
      <w:pPr>
        <w:ind w:firstLine="567"/>
        <w:jc w:val="both"/>
        <w:rPr>
          <w:lang w:val="en-US"/>
        </w:rPr>
      </w:pPr>
      <w:r w:rsidRPr="00BA5143">
        <w:rPr>
          <w:lang w:val="en-US"/>
        </w:rPr>
        <w:t>The main method of managing a currency position in a financial market volatility is limiting. Limits limit the amount of risk associated with the exchange rate that the Bank is prepared to bear. In calculating the limits, the Bank is guided by the principle that possible transactions risks should be covered by own funds, which, in case of losses, can be directed to their repayment without loss for other operations of the Bank. In the reporting year, the following internal limits of the open currency position were established and operated by the Bank:</w:t>
      </w:r>
    </w:p>
    <w:p w:rsidR="00A97EEF" w:rsidRPr="00BA5143" w:rsidRDefault="00A97EEF" w:rsidP="00A97EEF">
      <w:pPr>
        <w:pStyle w:val="afc"/>
        <w:numPr>
          <w:ilvl w:val="0"/>
          <w:numId w:val="35"/>
        </w:numPr>
        <w:spacing w:line="240" w:lineRule="exact"/>
        <w:jc w:val="both"/>
        <w:rPr>
          <w:lang w:val="en-US"/>
        </w:rPr>
      </w:pPr>
      <w:r w:rsidRPr="00BA5143">
        <w:rPr>
          <w:lang w:val="en-US"/>
        </w:rPr>
        <w:t>the limit of the long open foreign currency position of the Bank in all foreign currencies must be no more than 4.85% of the regulatory capital of the Bank;</w:t>
      </w:r>
    </w:p>
    <w:p w:rsidR="00A97EEF" w:rsidRPr="00BA5143" w:rsidRDefault="00A97EEF" w:rsidP="00A97EEF">
      <w:pPr>
        <w:pStyle w:val="afc"/>
        <w:numPr>
          <w:ilvl w:val="0"/>
          <w:numId w:val="35"/>
        </w:numPr>
        <w:spacing w:line="240" w:lineRule="exact"/>
        <w:jc w:val="both"/>
        <w:rPr>
          <w:lang w:val="en-US"/>
        </w:rPr>
      </w:pPr>
      <w:r w:rsidRPr="00BA5143">
        <w:rPr>
          <w:lang w:val="en-US"/>
        </w:rPr>
        <w:t xml:space="preserve">the limit of the Bank's short open foreign currency position in all foreign currencies </w:t>
      </w:r>
      <w:r w:rsidR="00201937" w:rsidRPr="00BA5143">
        <w:rPr>
          <w:lang w:val="en-US"/>
        </w:rPr>
        <w:t>cannot</w:t>
      </w:r>
      <w:r w:rsidRPr="00BA5143">
        <w:rPr>
          <w:lang w:val="en-US"/>
        </w:rPr>
        <w:t xml:space="preserve"> exceed 4.85% of the regulatory capital of the Bank.</w:t>
      </w:r>
    </w:p>
    <w:p w:rsidR="00A97EEF" w:rsidRPr="00BA5143" w:rsidRDefault="00A97EEF" w:rsidP="00A97EEF">
      <w:pPr>
        <w:spacing w:line="240" w:lineRule="exact"/>
        <w:ind w:firstLine="567"/>
        <w:jc w:val="both"/>
        <w:rPr>
          <w:lang w:val="en-US"/>
        </w:rPr>
      </w:pPr>
      <w:r w:rsidRPr="00BA5143">
        <w:rPr>
          <w:lang w:val="en-US"/>
        </w:rPr>
        <w:t>The currency risk is also considered by the Bank in close connection with such risks as:</w:t>
      </w:r>
    </w:p>
    <w:p w:rsidR="00A97EEF" w:rsidRPr="00BA5143" w:rsidRDefault="00A97EEF" w:rsidP="00A97EEF">
      <w:pPr>
        <w:pStyle w:val="afc"/>
        <w:numPr>
          <w:ilvl w:val="0"/>
          <w:numId w:val="35"/>
        </w:numPr>
        <w:spacing w:line="240" w:lineRule="exact"/>
        <w:jc w:val="both"/>
        <w:rPr>
          <w:lang w:val="en-US"/>
        </w:rPr>
      </w:pPr>
      <w:r w:rsidRPr="00BA5143">
        <w:rPr>
          <w:lang w:val="en-US"/>
        </w:rPr>
        <w:t>credit risk (if the exchange rate changes, there may be difficulties with repayment of loans, if denomination is denominated in foreign currency);</w:t>
      </w:r>
    </w:p>
    <w:p w:rsidR="00A97EEF" w:rsidRPr="00BA5143" w:rsidRDefault="00A97EEF" w:rsidP="0044685E">
      <w:pPr>
        <w:pStyle w:val="afc"/>
        <w:numPr>
          <w:ilvl w:val="0"/>
          <w:numId w:val="35"/>
        </w:numPr>
        <w:spacing w:line="240" w:lineRule="exact"/>
        <w:jc w:val="both"/>
        <w:rPr>
          <w:lang w:val="en-US"/>
        </w:rPr>
      </w:pPr>
      <w:r w:rsidRPr="00BA5143">
        <w:rPr>
          <w:lang w:val="en-US"/>
        </w:rPr>
        <w:lastRenderedPageBreak/>
        <w:t>liquidity risk (the Bank should assess its liquidity separately in each currency);</w:t>
      </w:r>
    </w:p>
    <w:p w:rsidR="00A97EEF" w:rsidRPr="00BA5143" w:rsidRDefault="00A97EEF" w:rsidP="0044685E">
      <w:pPr>
        <w:pStyle w:val="afc"/>
        <w:numPr>
          <w:ilvl w:val="0"/>
          <w:numId w:val="35"/>
        </w:numPr>
        <w:spacing w:line="240" w:lineRule="exact"/>
        <w:jc w:val="both"/>
        <w:rPr>
          <w:lang w:val="en-US"/>
        </w:rPr>
      </w:pPr>
      <w:r w:rsidRPr="00BA5143">
        <w:rPr>
          <w:lang w:val="en-US"/>
        </w:rPr>
        <w:t>legal risk (obligatory observance of the currency legislation of Ukraine).</w:t>
      </w:r>
    </w:p>
    <w:p w:rsidR="00725F29" w:rsidRPr="00BA5143" w:rsidRDefault="00A97EEF" w:rsidP="00A97EEF">
      <w:pPr>
        <w:spacing w:line="240" w:lineRule="exact"/>
        <w:ind w:firstLine="567"/>
        <w:jc w:val="both"/>
        <w:rPr>
          <w:lang w:val="en-US"/>
        </w:rPr>
      </w:pPr>
      <w:r w:rsidRPr="00BA5143">
        <w:rPr>
          <w:lang w:val="en-US"/>
        </w:rPr>
        <w:t>During the reporting year, the Bank complied with both the limits set by the National Bank of Ukraine and the internal limits of the open position.</w:t>
      </w:r>
    </w:p>
    <w:p w:rsidR="00A97EEF" w:rsidRPr="00BA5143" w:rsidRDefault="00A97EEF" w:rsidP="00A97EEF">
      <w:pPr>
        <w:spacing w:line="240" w:lineRule="exact"/>
        <w:ind w:firstLine="567"/>
        <w:jc w:val="both"/>
        <w:rPr>
          <w:b/>
          <w:lang w:val="en-US"/>
        </w:rPr>
      </w:pPr>
    </w:p>
    <w:p w:rsidR="00341607" w:rsidRPr="00BA5143" w:rsidRDefault="00BA262B" w:rsidP="00341607">
      <w:pPr>
        <w:spacing w:line="240" w:lineRule="exact"/>
        <w:ind w:firstLine="567"/>
        <w:jc w:val="both"/>
        <w:rPr>
          <w:b/>
          <w:lang w:val="en-US"/>
        </w:rPr>
      </w:pPr>
      <w:r w:rsidRPr="00BA5143">
        <w:rPr>
          <w:b/>
          <w:lang w:val="en-US"/>
        </w:rPr>
        <w:t xml:space="preserve">Table 25.1. Currency risk analysis </w:t>
      </w:r>
    </w:p>
    <w:p w:rsidR="00BA262B" w:rsidRPr="00BA5143" w:rsidRDefault="00BA262B" w:rsidP="00BA262B">
      <w:pPr>
        <w:spacing w:line="240" w:lineRule="exact"/>
        <w:ind w:firstLine="567"/>
        <w:jc w:val="both"/>
        <w:rPr>
          <w:lang w:val="en-US"/>
        </w:rPr>
      </w:pPr>
      <w:r w:rsidRPr="00BA5143">
        <w:rPr>
          <w:lang w:val="en-US"/>
        </w:rPr>
        <w:t xml:space="preserve">                                                                                                                              (ths. UAH.)</w:t>
      </w:r>
    </w:p>
    <w:tbl>
      <w:tblPr>
        <w:tblW w:w="9951" w:type="dxa"/>
        <w:tblInd w:w="93" w:type="dxa"/>
        <w:tblLayout w:type="fixed"/>
        <w:tblLook w:val="04A0"/>
      </w:tblPr>
      <w:tblGrid>
        <w:gridCol w:w="843"/>
        <w:gridCol w:w="1439"/>
        <w:gridCol w:w="1276"/>
        <w:gridCol w:w="985"/>
        <w:gridCol w:w="900"/>
        <w:gridCol w:w="970"/>
        <w:gridCol w:w="997"/>
        <w:gridCol w:w="709"/>
        <w:gridCol w:w="850"/>
        <w:gridCol w:w="970"/>
        <w:gridCol w:w="12"/>
      </w:tblGrid>
      <w:tr w:rsidR="00BA262B" w:rsidRPr="00BA5143" w:rsidTr="00AA3176">
        <w:trPr>
          <w:trHeight w:val="255"/>
        </w:trPr>
        <w:tc>
          <w:tcPr>
            <w:tcW w:w="843" w:type="dxa"/>
            <w:vMerge w:val="restart"/>
            <w:tcBorders>
              <w:top w:val="single" w:sz="8" w:space="0" w:color="auto"/>
              <w:left w:val="single" w:sz="8" w:space="0" w:color="auto"/>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Line </w:t>
            </w:r>
          </w:p>
        </w:tc>
        <w:tc>
          <w:tcPr>
            <w:tcW w:w="1439" w:type="dxa"/>
            <w:vMerge w:val="restart"/>
            <w:tcBorders>
              <w:top w:val="single" w:sz="8" w:space="0" w:color="auto"/>
              <w:left w:val="single" w:sz="4" w:space="0" w:color="000000"/>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Name of the currency</w:t>
            </w:r>
          </w:p>
        </w:tc>
        <w:tc>
          <w:tcPr>
            <w:tcW w:w="4131" w:type="dxa"/>
            <w:gridSpan w:val="4"/>
            <w:tcBorders>
              <w:top w:val="single" w:sz="8" w:space="0" w:color="auto"/>
              <w:left w:val="nil"/>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 xml:space="preserve"> 31.12.2018</w:t>
            </w:r>
          </w:p>
        </w:tc>
        <w:tc>
          <w:tcPr>
            <w:tcW w:w="3538" w:type="dxa"/>
            <w:gridSpan w:val="5"/>
            <w:tcBorders>
              <w:top w:val="single" w:sz="8" w:space="0" w:color="auto"/>
              <w:left w:val="nil"/>
              <w:bottom w:val="single" w:sz="4" w:space="0" w:color="000000"/>
              <w:right w:val="single" w:sz="8" w:space="0" w:color="000000"/>
            </w:tcBorders>
            <w:vAlign w:val="center"/>
            <w:hideMark/>
          </w:tcPr>
          <w:p w:rsidR="00BA262B" w:rsidRPr="00BA5143" w:rsidRDefault="00BA262B">
            <w:pPr>
              <w:jc w:val="center"/>
              <w:rPr>
                <w:sz w:val="20"/>
                <w:szCs w:val="20"/>
                <w:lang w:val="en-US"/>
              </w:rPr>
            </w:pPr>
            <w:r w:rsidRPr="00BA5143">
              <w:rPr>
                <w:sz w:val="20"/>
                <w:szCs w:val="20"/>
                <w:lang w:val="en-US"/>
              </w:rPr>
              <w:t xml:space="preserve"> 31.12.2017</w:t>
            </w:r>
          </w:p>
        </w:tc>
      </w:tr>
      <w:tr w:rsidR="00BA262B" w:rsidRPr="00BA5143" w:rsidTr="00AA3176">
        <w:trPr>
          <w:gridAfter w:val="1"/>
          <w:wAfter w:w="12" w:type="dxa"/>
          <w:trHeight w:val="1020"/>
        </w:trPr>
        <w:tc>
          <w:tcPr>
            <w:tcW w:w="843" w:type="dxa"/>
            <w:vMerge/>
            <w:tcBorders>
              <w:top w:val="single" w:sz="8" w:space="0" w:color="auto"/>
              <w:left w:val="single" w:sz="8" w:space="0" w:color="auto"/>
              <w:bottom w:val="single" w:sz="4" w:space="0" w:color="000000"/>
              <w:right w:val="single" w:sz="4" w:space="0" w:color="000000"/>
            </w:tcBorders>
            <w:vAlign w:val="center"/>
            <w:hideMark/>
          </w:tcPr>
          <w:p w:rsidR="00BA262B" w:rsidRPr="00BA5143" w:rsidRDefault="00BA262B">
            <w:pPr>
              <w:rPr>
                <w:sz w:val="20"/>
                <w:szCs w:val="20"/>
                <w:lang w:val="en-US"/>
              </w:rPr>
            </w:pPr>
          </w:p>
        </w:tc>
        <w:tc>
          <w:tcPr>
            <w:tcW w:w="1439" w:type="dxa"/>
            <w:vMerge/>
            <w:tcBorders>
              <w:top w:val="single" w:sz="8" w:space="0" w:color="auto"/>
              <w:left w:val="single" w:sz="4" w:space="0" w:color="000000"/>
              <w:bottom w:val="single" w:sz="4" w:space="0" w:color="000000"/>
              <w:right w:val="single" w:sz="4" w:space="0" w:color="000000"/>
            </w:tcBorders>
            <w:vAlign w:val="center"/>
            <w:hideMark/>
          </w:tcPr>
          <w:p w:rsidR="00BA262B" w:rsidRPr="00BA5143" w:rsidRDefault="00BA262B">
            <w:pPr>
              <w:rPr>
                <w:sz w:val="20"/>
                <w:szCs w:val="20"/>
                <w:lang w:val="en-US"/>
              </w:rPr>
            </w:pPr>
          </w:p>
        </w:tc>
        <w:tc>
          <w:tcPr>
            <w:tcW w:w="1276" w:type="dxa"/>
            <w:tcBorders>
              <w:top w:val="nil"/>
              <w:left w:val="nil"/>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monetary assets</w:t>
            </w:r>
          </w:p>
          <w:p w:rsidR="00BA262B" w:rsidRPr="00BA5143" w:rsidRDefault="00BA262B">
            <w:pPr>
              <w:jc w:val="center"/>
              <w:rPr>
                <w:sz w:val="20"/>
                <w:szCs w:val="20"/>
                <w:lang w:val="en-US"/>
              </w:rPr>
            </w:pPr>
            <w:r w:rsidRPr="00BA5143">
              <w:rPr>
                <w:sz w:val="20"/>
                <w:szCs w:val="20"/>
                <w:lang w:val="en-US"/>
              </w:rPr>
              <w:t> </w:t>
            </w:r>
          </w:p>
        </w:tc>
        <w:tc>
          <w:tcPr>
            <w:tcW w:w="985" w:type="dxa"/>
            <w:tcBorders>
              <w:top w:val="nil"/>
              <w:left w:val="nil"/>
              <w:bottom w:val="single" w:sz="4" w:space="0" w:color="000000"/>
              <w:right w:val="single" w:sz="4" w:space="0" w:color="000000"/>
            </w:tcBorders>
            <w:vAlign w:val="center"/>
            <w:hideMark/>
          </w:tcPr>
          <w:p w:rsidR="00BA262B" w:rsidRPr="00BA5143" w:rsidRDefault="00BA262B" w:rsidP="00BA262B">
            <w:pPr>
              <w:ind w:left="-88"/>
              <w:jc w:val="center"/>
              <w:rPr>
                <w:sz w:val="20"/>
                <w:szCs w:val="20"/>
                <w:lang w:val="en-US"/>
              </w:rPr>
            </w:pPr>
            <w:r w:rsidRPr="00BA5143">
              <w:rPr>
                <w:sz w:val="20"/>
                <w:szCs w:val="20"/>
                <w:lang w:val="en-US"/>
              </w:rPr>
              <w:t>monetary</w:t>
            </w:r>
          </w:p>
          <w:p w:rsidR="00BA262B" w:rsidRPr="00BA5143" w:rsidRDefault="00BA262B" w:rsidP="00BA262B">
            <w:pPr>
              <w:ind w:left="-88"/>
              <w:jc w:val="center"/>
              <w:rPr>
                <w:sz w:val="20"/>
                <w:szCs w:val="20"/>
                <w:lang w:val="en-US"/>
              </w:rPr>
            </w:pPr>
            <w:r w:rsidRPr="00BA5143">
              <w:rPr>
                <w:sz w:val="20"/>
                <w:szCs w:val="20"/>
                <w:lang w:val="en-US"/>
              </w:rPr>
              <w:t>obligation</w:t>
            </w:r>
          </w:p>
        </w:tc>
        <w:tc>
          <w:tcPr>
            <w:tcW w:w="900" w:type="dxa"/>
            <w:tcBorders>
              <w:top w:val="nil"/>
              <w:left w:val="nil"/>
              <w:bottom w:val="single" w:sz="4" w:space="0" w:color="000000"/>
              <w:right w:val="single" w:sz="4" w:space="0" w:color="000000"/>
            </w:tcBorders>
            <w:vAlign w:val="center"/>
            <w:hideMark/>
          </w:tcPr>
          <w:p w:rsidR="00BA262B" w:rsidRPr="00BA5143" w:rsidRDefault="00BA262B" w:rsidP="00BA262B">
            <w:pPr>
              <w:ind w:left="-78" w:right="-92" w:hanging="1"/>
              <w:jc w:val="center"/>
              <w:rPr>
                <w:sz w:val="20"/>
                <w:szCs w:val="20"/>
                <w:lang w:val="en-US"/>
              </w:rPr>
            </w:pPr>
            <w:r w:rsidRPr="00BA5143">
              <w:rPr>
                <w:sz w:val="20"/>
                <w:szCs w:val="20"/>
                <w:lang w:val="en-US"/>
              </w:rPr>
              <w:t>derivative financial instruments</w:t>
            </w:r>
          </w:p>
        </w:tc>
        <w:tc>
          <w:tcPr>
            <w:tcW w:w="970" w:type="dxa"/>
            <w:tcBorders>
              <w:top w:val="nil"/>
              <w:left w:val="nil"/>
              <w:bottom w:val="single" w:sz="4" w:space="0" w:color="000000"/>
              <w:right w:val="single" w:sz="4" w:space="0" w:color="000000"/>
            </w:tcBorders>
            <w:vAlign w:val="center"/>
            <w:hideMark/>
          </w:tcPr>
          <w:p w:rsidR="00BA262B" w:rsidRPr="00BA5143" w:rsidRDefault="00BA262B">
            <w:pPr>
              <w:rPr>
                <w:sz w:val="20"/>
                <w:szCs w:val="20"/>
                <w:lang w:val="en-US"/>
              </w:rPr>
            </w:pPr>
            <w:r w:rsidRPr="00BA5143">
              <w:rPr>
                <w:sz w:val="20"/>
                <w:szCs w:val="20"/>
                <w:lang w:val="en-US"/>
              </w:rPr>
              <w:t>net position</w:t>
            </w:r>
          </w:p>
        </w:tc>
        <w:tc>
          <w:tcPr>
            <w:tcW w:w="997" w:type="dxa"/>
            <w:tcBorders>
              <w:top w:val="nil"/>
              <w:left w:val="nil"/>
              <w:bottom w:val="single" w:sz="4" w:space="0" w:color="000000"/>
              <w:right w:val="single" w:sz="4" w:space="0" w:color="000000"/>
            </w:tcBorders>
            <w:vAlign w:val="center"/>
            <w:hideMark/>
          </w:tcPr>
          <w:p w:rsidR="00BA262B" w:rsidRPr="00BA5143" w:rsidRDefault="00BA262B" w:rsidP="00AA3176">
            <w:pPr>
              <w:ind w:left="-102" w:right="-36"/>
              <w:jc w:val="center"/>
              <w:rPr>
                <w:sz w:val="20"/>
                <w:szCs w:val="20"/>
                <w:lang w:val="en-US"/>
              </w:rPr>
            </w:pPr>
            <w:r w:rsidRPr="00BA5143">
              <w:rPr>
                <w:sz w:val="20"/>
                <w:szCs w:val="20"/>
                <w:lang w:val="en-US"/>
              </w:rPr>
              <w:t>monetary assets</w:t>
            </w:r>
          </w:p>
        </w:tc>
        <w:tc>
          <w:tcPr>
            <w:tcW w:w="709" w:type="dxa"/>
            <w:tcBorders>
              <w:top w:val="nil"/>
              <w:left w:val="nil"/>
              <w:bottom w:val="single" w:sz="4" w:space="0" w:color="000000"/>
              <w:right w:val="single" w:sz="4" w:space="0" w:color="000000"/>
            </w:tcBorders>
            <w:vAlign w:val="center"/>
            <w:hideMark/>
          </w:tcPr>
          <w:p w:rsidR="00BA262B" w:rsidRPr="00BA5143" w:rsidRDefault="00BA262B" w:rsidP="00AA3176">
            <w:pPr>
              <w:ind w:left="-108" w:right="-218"/>
              <w:jc w:val="center"/>
              <w:rPr>
                <w:sz w:val="20"/>
                <w:szCs w:val="20"/>
                <w:lang w:val="en-US"/>
              </w:rPr>
            </w:pPr>
            <w:r w:rsidRPr="00BA5143">
              <w:rPr>
                <w:sz w:val="20"/>
                <w:szCs w:val="20"/>
                <w:lang w:val="en-US"/>
              </w:rPr>
              <w:t>monetary obligations</w:t>
            </w:r>
          </w:p>
          <w:p w:rsidR="00BA262B" w:rsidRPr="00BA5143" w:rsidRDefault="00BA262B" w:rsidP="00AA3176">
            <w:pPr>
              <w:ind w:left="-108" w:right="-218"/>
              <w:jc w:val="center"/>
              <w:rPr>
                <w:sz w:val="20"/>
                <w:szCs w:val="20"/>
                <w:lang w:val="en-US"/>
              </w:rPr>
            </w:pPr>
            <w:r w:rsidRPr="00BA5143">
              <w:rPr>
                <w:sz w:val="20"/>
                <w:szCs w:val="20"/>
                <w:lang w:val="en-US"/>
              </w:rPr>
              <w:t> </w:t>
            </w:r>
          </w:p>
        </w:tc>
        <w:tc>
          <w:tcPr>
            <w:tcW w:w="850" w:type="dxa"/>
            <w:tcBorders>
              <w:top w:val="nil"/>
              <w:left w:val="nil"/>
              <w:bottom w:val="single" w:sz="4" w:space="0" w:color="000000"/>
              <w:right w:val="single" w:sz="4" w:space="0" w:color="000000"/>
            </w:tcBorders>
            <w:vAlign w:val="center"/>
            <w:hideMark/>
          </w:tcPr>
          <w:p w:rsidR="00BA262B" w:rsidRPr="00BA5143" w:rsidRDefault="00BA262B" w:rsidP="00AA3176">
            <w:pPr>
              <w:ind w:left="-108" w:right="-74"/>
              <w:jc w:val="center"/>
              <w:rPr>
                <w:sz w:val="20"/>
                <w:szCs w:val="20"/>
                <w:lang w:val="en-US"/>
              </w:rPr>
            </w:pPr>
            <w:r w:rsidRPr="00BA5143">
              <w:rPr>
                <w:sz w:val="20"/>
                <w:szCs w:val="20"/>
                <w:lang w:val="en-US"/>
              </w:rPr>
              <w:t>derivative financial instruments</w:t>
            </w:r>
          </w:p>
          <w:p w:rsidR="00BA262B" w:rsidRPr="00BA5143" w:rsidRDefault="00BA262B" w:rsidP="00AA3176">
            <w:pPr>
              <w:ind w:left="-108"/>
              <w:jc w:val="center"/>
              <w:rPr>
                <w:sz w:val="20"/>
                <w:szCs w:val="20"/>
                <w:lang w:val="en-US"/>
              </w:rPr>
            </w:pPr>
            <w:r w:rsidRPr="00BA5143">
              <w:rPr>
                <w:sz w:val="20"/>
                <w:szCs w:val="20"/>
                <w:lang w:val="en-US"/>
              </w:rPr>
              <w:t> </w:t>
            </w:r>
          </w:p>
        </w:tc>
        <w:tc>
          <w:tcPr>
            <w:tcW w:w="970" w:type="dxa"/>
            <w:tcBorders>
              <w:top w:val="nil"/>
              <w:left w:val="nil"/>
              <w:bottom w:val="single" w:sz="4" w:space="0" w:color="000000"/>
              <w:right w:val="single" w:sz="8" w:space="0" w:color="auto"/>
            </w:tcBorders>
            <w:vAlign w:val="center"/>
            <w:hideMark/>
          </w:tcPr>
          <w:p w:rsidR="00BA262B" w:rsidRPr="00BA5143" w:rsidRDefault="00BA262B">
            <w:pPr>
              <w:jc w:val="center"/>
              <w:rPr>
                <w:sz w:val="20"/>
                <w:szCs w:val="20"/>
                <w:lang w:val="en-US"/>
              </w:rPr>
            </w:pPr>
            <w:r w:rsidRPr="00BA5143">
              <w:rPr>
                <w:sz w:val="20"/>
                <w:szCs w:val="20"/>
                <w:lang w:val="en-US"/>
              </w:rPr>
              <w:t>net position</w:t>
            </w:r>
          </w:p>
        </w:tc>
      </w:tr>
      <w:tr w:rsidR="00BA262B" w:rsidRPr="00BA5143" w:rsidTr="00AA3176">
        <w:trPr>
          <w:gridAfter w:val="1"/>
          <w:wAfter w:w="12" w:type="dxa"/>
          <w:trHeight w:val="255"/>
        </w:trPr>
        <w:tc>
          <w:tcPr>
            <w:tcW w:w="843" w:type="dxa"/>
            <w:tcBorders>
              <w:top w:val="nil"/>
              <w:left w:val="single" w:sz="8" w:space="0" w:color="auto"/>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1 </w:t>
            </w:r>
          </w:p>
        </w:tc>
        <w:tc>
          <w:tcPr>
            <w:tcW w:w="1439"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2 </w:t>
            </w:r>
          </w:p>
        </w:tc>
        <w:tc>
          <w:tcPr>
            <w:tcW w:w="1276"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3 </w:t>
            </w:r>
          </w:p>
        </w:tc>
        <w:tc>
          <w:tcPr>
            <w:tcW w:w="985"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4 </w:t>
            </w:r>
          </w:p>
        </w:tc>
        <w:tc>
          <w:tcPr>
            <w:tcW w:w="900"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5 </w:t>
            </w:r>
          </w:p>
        </w:tc>
        <w:tc>
          <w:tcPr>
            <w:tcW w:w="970"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6 </w:t>
            </w:r>
          </w:p>
        </w:tc>
        <w:tc>
          <w:tcPr>
            <w:tcW w:w="997"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7 </w:t>
            </w:r>
          </w:p>
        </w:tc>
        <w:tc>
          <w:tcPr>
            <w:tcW w:w="709"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8 </w:t>
            </w:r>
          </w:p>
        </w:tc>
        <w:tc>
          <w:tcPr>
            <w:tcW w:w="850" w:type="dxa"/>
            <w:tcBorders>
              <w:top w:val="nil"/>
              <w:left w:val="nil"/>
              <w:bottom w:val="single" w:sz="4" w:space="0" w:color="000000"/>
              <w:right w:val="single" w:sz="4" w:space="0" w:color="000000"/>
            </w:tcBorders>
            <w:vAlign w:val="bottom"/>
            <w:hideMark/>
          </w:tcPr>
          <w:p w:rsidR="00BA262B" w:rsidRPr="00BA5143" w:rsidRDefault="00BA262B">
            <w:pPr>
              <w:jc w:val="center"/>
              <w:rPr>
                <w:sz w:val="20"/>
                <w:szCs w:val="20"/>
                <w:lang w:val="en-US"/>
              </w:rPr>
            </w:pPr>
            <w:r w:rsidRPr="00BA5143">
              <w:rPr>
                <w:sz w:val="20"/>
                <w:szCs w:val="20"/>
                <w:lang w:val="en-US"/>
              </w:rPr>
              <w:t>9 </w:t>
            </w:r>
          </w:p>
        </w:tc>
        <w:tc>
          <w:tcPr>
            <w:tcW w:w="970" w:type="dxa"/>
            <w:tcBorders>
              <w:top w:val="nil"/>
              <w:left w:val="nil"/>
              <w:bottom w:val="single" w:sz="4" w:space="0" w:color="000000"/>
              <w:right w:val="single" w:sz="8" w:space="0" w:color="auto"/>
            </w:tcBorders>
            <w:vAlign w:val="bottom"/>
            <w:hideMark/>
          </w:tcPr>
          <w:p w:rsidR="00BA262B" w:rsidRPr="00BA5143" w:rsidRDefault="00BA262B">
            <w:pPr>
              <w:jc w:val="center"/>
              <w:rPr>
                <w:sz w:val="20"/>
                <w:szCs w:val="20"/>
                <w:lang w:val="en-US"/>
              </w:rPr>
            </w:pPr>
            <w:r w:rsidRPr="00BA5143">
              <w:rPr>
                <w:sz w:val="20"/>
                <w:szCs w:val="20"/>
                <w:lang w:val="en-US"/>
              </w:rPr>
              <w:t>10 </w:t>
            </w:r>
          </w:p>
        </w:tc>
      </w:tr>
      <w:tr w:rsidR="00BA262B" w:rsidRPr="00BA5143" w:rsidTr="00AA3176">
        <w:trPr>
          <w:gridAfter w:val="1"/>
          <w:wAfter w:w="12" w:type="dxa"/>
          <w:trHeight w:val="255"/>
        </w:trPr>
        <w:tc>
          <w:tcPr>
            <w:tcW w:w="843" w:type="dxa"/>
            <w:tcBorders>
              <w:top w:val="nil"/>
              <w:left w:val="single" w:sz="8" w:space="0" w:color="auto"/>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1 </w:t>
            </w:r>
          </w:p>
        </w:tc>
        <w:tc>
          <w:tcPr>
            <w:tcW w:w="1439" w:type="dxa"/>
            <w:tcBorders>
              <w:top w:val="nil"/>
              <w:left w:val="nil"/>
              <w:bottom w:val="single" w:sz="4" w:space="0" w:color="000000"/>
              <w:right w:val="single" w:sz="4" w:space="0" w:color="000000"/>
            </w:tcBorders>
            <w:hideMark/>
          </w:tcPr>
          <w:p w:rsidR="00BA262B" w:rsidRPr="00BA5143" w:rsidRDefault="00BA262B">
            <w:pPr>
              <w:rPr>
                <w:sz w:val="20"/>
                <w:szCs w:val="20"/>
                <w:lang w:val="en-US"/>
              </w:rPr>
            </w:pPr>
            <w:r w:rsidRPr="00BA5143">
              <w:rPr>
                <w:sz w:val="20"/>
                <w:szCs w:val="20"/>
                <w:lang w:val="en-US"/>
              </w:rPr>
              <w:t>USD</w:t>
            </w:r>
          </w:p>
        </w:tc>
        <w:tc>
          <w:tcPr>
            <w:tcW w:w="1276"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778</w:t>
            </w:r>
          </w:p>
        </w:tc>
        <w:tc>
          <w:tcPr>
            <w:tcW w:w="985"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387</w:t>
            </w:r>
          </w:p>
        </w:tc>
        <w:tc>
          <w:tcPr>
            <w:tcW w:w="90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391</w:t>
            </w:r>
          </w:p>
        </w:tc>
        <w:tc>
          <w:tcPr>
            <w:tcW w:w="997"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331</w:t>
            </w:r>
          </w:p>
        </w:tc>
        <w:tc>
          <w:tcPr>
            <w:tcW w:w="709"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85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8" w:space="0" w:color="auto"/>
            </w:tcBorders>
            <w:vAlign w:val="center"/>
            <w:hideMark/>
          </w:tcPr>
          <w:p w:rsidR="00BA262B" w:rsidRPr="00BA5143" w:rsidRDefault="00BA262B">
            <w:pPr>
              <w:jc w:val="right"/>
              <w:rPr>
                <w:sz w:val="20"/>
                <w:szCs w:val="20"/>
                <w:lang w:val="en-US"/>
              </w:rPr>
            </w:pPr>
            <w:r w:rsidRPr="00BA5143">
              <w:rPr>
                <w:sz w:val="20"/>
                <w:szCs w:val="20"/>
                <w:lang w:val="en-US"/>
              </w:rPr>
              <w:t>331</w:t>
            </w:r>
          </w:p>
        </w:tc>
      </w:tr>
      <w:tr w:rsidR="00BA262B" w:rsidRPr="00BA5143" w:rsidTr="00AA3176">
        <w:trPr>
          <w:gridAfter w:val="1"/>
          <w:wAfter w:w="12" w:type="dxa"/>
          <w:trHeight w:val="255"/>
        </w:trPr>
        <w:tc>
          <w:tcPr>
            <w:tcW w:w="843" w:type="dxa"/>
            <w:tcBorders>
              <w:top w:val="nil"/>
              <w:left w:val="single" w:sz="8" w:space="0" w:color="auto"/>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2 </w:t>
            </w:r>
          </w:p>
        </w:tc>
        <w:tc>
          <w:tcPr>
            <w:tcW w:w="1439" w:type="dxa"/>
            <w:tcBorders>
              <w:top w:val="nil"/>
              <w:left w:val="nil"/>
              <w:bottom w:val="single" w:sz="4" w:space="0" w:color="000000"/>
              <w:right w:val="single" w:sz="4" w:space="0" w:color="000000"/>
            </w:tcBorders>
            <w:hideMark/>
          </w:tcPr>
          <w:p w:rsidR="00BA262B" w:rsidRPr="00BA5143" w:rsidRDefault="00BA262B">
            <w:pPr>
              <w:rPr>
                <w:sz w:val="20"/>
                <w:szCs w:val="20"/>
                <w:lang w:val="en-US"/>
              </w:rPr>
            </w:pPr>
            <w:r w:rsidRPr="00BA5143">
              <w:rPr>
                <w:sz w:val="20"/>
                <w:szCs w:val="20"/>
                <w:lang w:val="en-US"/>
              </w:rPr>
              <w:t>Euro</w:t>
            </w:r>
          </w:p>
        </w:tc>
        <w:tc>
          <w:tcPr>
            <w:tcW w:w="1276"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131</w:t>
            </w:r>
          </w:p>
        </w:tc>
        <w:tc>
          <w:tcPr>
            <w:tcW w:w="985"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0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131</w:t>
            </w:r>
          </w:p>
        </w:tc>
        <w:tc>
          <w:tcPr>
            <w:tcW w:w="997"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348</w:t>
            </w:r>
          </w:p>
        </w:tc>
        <w:tc>
          <w:tcPr>
            <w:tcW w:w="709"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85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8" w:space="0" w:color="auto"/>
            </w:tcBorders>
            <w:vAlign w:val="center"/>
            <w:hideMark/>
          </w:tcPr>
          <w:p w:rsidR="00BA262B" w:rsidRPr="00BA5143" w:rsidRDefault="00BA262B">
            <w:pPr>
              <w:jc w:val="right"/>
              <w:rPr>
                <w:sz w:val="20"/>
                <w:szCs w:val="20"/>
                <w:lang w:val="en-US"/>
              </w:rPr>
            </w:pPr>
            <w:r w:rsidRPr="00BA5143">
              <w:rPr>
                <w:sz w:val="20"/>
                <w:szCs w:val="20"/>
                <w:lang w:val="en-US"/>
              </w:rPr>
              <w:t>348</w:t>
            </w:r>
          </w:p>
        </w:tc>
      </w:tr>
      <w:tr w:rsidR="00BA262B" w:rsidRPr="00BA5143" w:rsidTr="00AA3176">
        <w:trPr>
          <w:gridAfter w:val="1"/>
          <w:wAfter w:w="12" w:type="dxa"/>
          <w:trHeight w:val="255"/>
        </w:trPr>
        <w:tc>
          <w:tcPr>
            <w:tcW w:w="843" w:type="dxa"/>
            <w:tcBorders>
              <w:top w:val="nil"/>
              <w:left w:val="single" w:sz="8" w:space="0" w:color="auto"/>
              <w:bottom w:val="single" w:sz="4" w:space="0" w:color="000000"/>
              <w:right w:val="single" w:sz="4" w:space="0" w:color="000000"/>
            </w:tcBorders>
            <w:vAlign w:val="center"/>
            <w:hideMark/>
          </w:tcPr>
          <w:p w:rsidR="00BA262B" w:rsidRPr="00BA5143" w:rsidRDefault="00BA262B">
            <w:pPr>
              <w:jc w:val="center"/>
              <w:rPr>
                <w:sz w:val="20"/>
                <w:szCs w:val="20"/>
                <w:lang w:val="en-US"/>
              </w:rPr>
            </w:pPr>
            <w:r w:rsidRPr="00BA5143">
              <w:rPr>
                <w:sz w:val="20"/>
                <w:szCs w:val="20"/>
                <w:lang w:val="en-US"/>
              </w:rPr>
              <w:t>3</w:t>
            </w:r>
          </w:p>
        </w:tc>
        <w:tc>
          <w:tcPr>
            <w:tcW w:w="1439" w:type="dxa"/>
            <w:tcBorders>
              <w:top w:val="nil"/>
              <w:left w:val="nil"/>
              <w:bottom w:val="single" w:sz="4" w:space="0" w:color="000000"/>
              <w:right w:val="single" w:sz="4" w:space="0" w:color="000000"/>
            </w:tcBorders>
            <w:hideMark/>
          </w:tcPr>
          <w:p w:rsidR="00BA262B" w:rsidRPr="00BA5143" w:rsidRDefault="00BA262B">
            <w:pPr>
              <w:rPr>
                <w:sz w:val="20"/>
                <w:szCs w:val="20"/>
                <w:lang w:val="en-US"/>
              </w:rPr>
            </w:pPr>
            <w:r w:rsidRPr="00BA5143">
              <w:rPr>
                <w:sz w:val="20"/>
                <w:szCs w:val="20"/>
                <w:lang w:val="en-US"/>
              </w:rPr>
              <w:t>Yuan Renminbi</w:t>
            </w:r>
          </w:p>
        </w:tc>
        <w:tc>
          <w:tcPr>
            <w:tcW w:w="1276"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101</w:t>
            </w:r>
          </w:p>
        </w:tc>
        <w:tc>
          <w:tcPr>
            <w:tcW w:w="985"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0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101</w:t>
            </w:r>
          </w:p>
        </w:tc>
        <w:tc>
          <w:tcPr>
            <w:tcW w:w="997"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709"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850" w:type="dxa"/>
            <w:tcBorders>
              <w:top w:val="nil"/>
              <w:left w:val="nil"/>
              <w:bottom w:val="single" w:sz="4" w:space="0" w:color="000000"/>
              <w:right w:val="single" w:sz="4" w:space="0" w:color="000000"/>
            </w:tcBorders>
            <w:vAlign w:val="center"/>
            <w:hideMark/>
          </w:tcPr>
          <w:p w:rsidR="00BA262B" w:rsidRPr="00BA5143" w:rsidRDefault="00BA262B">
            <w:pPr>
              <w:jc w:val="right"/>
              <w:rPr>
                <w:sz w:val="20"/>
                <w:szCs w:val="20"/>
                <w:lang w:val="en-US"/>
              </w:rPr>
            </w:pPr>
            <w:r w:rsidRPr="00BA5143">
              <w:rPr>
                <w:sz w:val="20"/>
                <w:szCs w:val="20"/>
                <w:lang w:val="en-US"/>
              </w:rPr>
              <w:t>-</w:t>
            </w:r>
          </w:p>
        </w:tc>
        <w:tc>
          <w:tcPr>
            <w:tcW w:w="970" w:type="dxa"/>
            <w:tcBorders>
              <w:top w:val="nil"/>
              <w:left w:val="nil"/>
              <w:bottom w:val="single" w:sz="4" w:space="0" w:color="000000"/>
              <w:right w:val="single" w:sz="8" w:space="0" w:color="auto"/>
            </w:tcBorders>
            <w:vAlign w:val="center"/>
            <w:hideMark/>
          </w:tcPr>
          <w:p w:rsidR="00BA262B" w:rsidRPr="00BA5143" w:rsidRDefault="00BA262B">
            <w:pPr>
              <w:jc w:val="right"/>
              <w:rPr>
                <w:sz w:val="20"/>
                <w:szCs w:val="20"/>
                <w:lang w:val="en-US"/>
              </w:rPr>
            </w:pPr>
            <w:r w:rsidRPr="00BA5143">
              <w:rPr>
                <w:sz w:val="20"/>
                <w:szCs w:val="20"/>
                <w:lang w:val="en-US"/>
              </w:rPr>
              <w:t>-</w:t>
            </w:r>
          </w:p>
        </w:tc>
      </w:tr>
      <w:tr w:rsidR="00BA262B" w:rsidRPr="00BA5143" w:rsidTr="00AA3176">
        <w:trPr>
          <w:gridAfter w:val="1"/>
          <w:wAfter w:w="12" w:type="dxa"/>
          <w:trHeight w:val="270"/>
        </w:trPr>
        <w:tc>
          <w:tcPr>
            <w:tcW w:w="843" w:type="dxa"/>
            <w:tcBorders>
              <w:top w:val="nil"/>
              <w:left w:val="single" w:sz="8" w:space="0" w:color="auto"/>
              <w:bottom w:val="single" w:sz="8" w:space="0" w:color="auto"/>
              <w:right w:val="single" w:sz="4" w:space="0" w:color="000000"/>
            </w:tcBorders>
            <w:vAlign w:val="center"/>
            <w:hideMark/>
          </w:tcPr>
          <w:p w:rsidR="00BA262B" w:rsidRPr="00BA5143" w:rsidRDefault="00BA262B">
            <w:pPr>
              <w:jc w:val="center"/>
              <w:rPr>
                <w:b/>
                <w:sz w:val="20"/>
                <w:szCs w:val="20"/>
                <w:lang w:val="en-US"/>
              </w:rPr>
            </w:pPr>
            <w:r w:rsidRPr="00BA5143">
              <w:rPr>
                <w:b/>
                <w:sz w:val="20"/>
                <w:szCs w:val="20"/>
                <w:lang w:val="en-US"/>
              </w:rPr>
              <w:t>3 </w:t>
            </w:r>
          </w:p>
        </w:tc>
        <w:tc>
          <w:tcPr>
            <w:tcW w:w="1439" w:type="dxa"/>
            <w:tcBorders>
              <w:top w:val="nil"/>
              <w:left w:val="nil"/>
              <w:bottom w:val="single" w:sz="8" w:space="0" w:color="auto"/>
              <w:right w:val="single" w:sz="4" w:space="0" w:color="000000"/>
            </w:tcBorders>
            <w:hideMark/>
          </w:tcPr>
          <w:p w:rsidR="00BA262B" w:rsidRPr="00BA5143" w:rsidRDefault="00BA262B">
            <w:pPr>
              <w:rPr>
                <w:lang w:val="en-US"/>
              </w:rPr>
            </w:pPr>
            <w:r w:rsidRPr="00BA5143">
              <w:rPr>
                <w:b/>
                <w:sz w:val="20"/>
                <w:szCs w:val="20"/>
                <w:lang w:val="en-US"/>
              </w:rPr>
              <w:t>Total</w:t>
            </w:r>
          </w:p>
        </w:tc>
        <w:tc>
          <w:tcPr>
            <w:tcW w:w="1276" w:type="dxa"/>
            <w:tcBorders>
              <w:top w:val="nil"/>
              <w:left w:val="nil"/>
              <w:bottom w:val="single" w:sz="8" w:space="0" w:color="auto"/>
              <w:right w:val="single" w:sz="4" w:space="0" w:color="000000"/>
            </w:tcBorders>
            <w:vAlign w:val="center"/>
            <w:hideMark/>
          </w:tcPr>
          <w:p w:rsidR="00BA262B" w:rsidRPr="00BA5143" w:rsidRDefault="00BA262B">
            <w:pPr>
              <w:jc w:val="right"/>
              <w:rPr>
                <w:b/>
                <w:bCs/>
                <w:sz w:val="20"/>
                <w:szCs w:val="20"/>
                <w:lang w:val="en-US"/>
              </w:rPr>
            </w:pPr>
            <w:r w:rsidRPr="00BA5143">
              <w:rPr>
                <w:b/>
                <w:bCs/>
                <w:sz w:val="20"/>
                <w:szCs w:val="20"/>
                <w:lang w:val="en-US"/>
              </w:rPr>
              <w:t xml:space="preserve">          1 010  </w:t>
            </w:r>
          </w:p>
        </w:tc>
        <w:tc>
          <w:tcPr>
            <w:tcW w:w="985" w:type="dxa"/>
            <w:tcBorders>
              <w:top w:val="nil"/>
              <w:left w:val="nil"/>
              <w:bottom w:val="single" w:sz="8" w:space="0" w:color="auto"/>
              <w:right w:val="single" w:sz="4" w:space="0" w:color="000000"/>
            </w:tcBorders>
            <w:vAlign w:val="center"/>
            <w:hideMark/>
          </w:tcPr>
          <w:p w:rsidR="00BA262B" w:rsidRPr="00BA5143" w:rsidRDefault="00BA262B">
            <w:pPr>
              <w:jc w:val="right"/>
              <w:rPr>
                <w:b/>
                <w:bCs/>
                <w:sz w:val="20"/>
                <w:szCs w:val="20"/>
                <w:lang w:val="en-US"/>
              </w:rPr>
            </w:pPr>
            <w:r w:rsidRPr="00BA5143">
              <w:rPr>
                <w:b/>
                <w:bCs/>
                <w:sz w:val="20"/>
                <w:szCs w:val="20"/>
                <w:lang w:val="en-US"/>
              </w:rPr>
              <w:t>387</w:t>
            </w:r>
          </w:p>
        </w:tc>
        <w:tc>
          <w:tcPr>
            <w:tcW w:w="900" w:type="dxa"/>
            <w:tcBorders>
              <w:top w:val="nil"/>
              <w:left w:val="nil"/>
              <w:bottom w:val="single" w:sz="8" w:space="0" w:color="auto"/>
              <w:right w:val="single" w:sz="4" w:space="0" w:color="000000"/>
            </w:tcBorders>
            <w:vAlign w:val="center"/>
            <w:hideMark/>
          </w:tcPr>
          <w:p w:rsidR="00BA262B" w:rsidRPr="00BA5143" w:rsidRDefault="00BA262B">
            <w:pPr>
              <w:jc w:val="right"/>
              <w:rPr>
                <w:b/>
                <w:bCs/>
                <w:sz w:val="20"/>
                <w:szCs w:val="20"/>
                <w:lang w:val="en-US"/>
              </w:rPr>
            </w:pPr>
            <w:r w:rsidRPr="00BA5143">
              <w:rPr>
                <w:b/>
                <w:bCs/>
                <w:sz w:val="20"/>
                <w:szCs w:val="20"/>
                <w:lang w:val="en-US"/>
              </w:rPr>
              <w:t>-</w:t>
            </w:r>
          </w:p>
        </w:tc>
        <w:tc>
          <w:tcPr>
            <w:tcW w:w="970" w:type="dxa"/>
            <w:tcBorders>
              <w:top w:val="nil"/>
              <w:left w:val="nil"/>
              <w:bottom w:val="single" w:sz="8" w:space="0" w:color="auto"/>
              <w:right w:val="single" w:sz="4" w:space="0" w:color="000000"/>
            </w:tcBorders>
            <w:vAlign w:val="center"/>
            <w:hideMark/>
          </w:tcPr>
          <w:p w:rsidR="00BA262B" w:rsidRPr="00BA5143" w:rsidRDefault="00BA262B">
            <w:pPr>
              <w:jc w:val="right"/>
              <w:rPr>
                <w:b/>
                <w:bCs/>
                <w:sz w:val="20"/>
                <w:szCs w:val="20"/>
                <w:lang w:val="en-US"/>
              </w:rPr>
            </w:pPr>
            <w:r w:rsidRPr="00BA5143">
              <w:rPr>
                <w:b/>
                <w:bCs/>
                <w:sz w:val="20"/>
                <w:szCs w:val="20"/>
                <w:lang w:val="en-US"/>
              </w:rPr>
              <w:t>623</w:t>
            </w:r>
          </w:p>
        </w:tc>
        <w:tc>
          <w:tcPr>
            <w:tcW w:w="997" w:type="dxa"/>
            <w:tcBorders>
              <w:top w:val="nil"/>
              <w:left w:val="nil"/>
              <w:bottom w:val="single" w:sz="8" w:space="0" w:color="auto"/>
              <w:right w:val="single" w:sz="4" w:space="0" w:color="000000"/>
            </w:tcBorders>
            <w:vAlign w:val="center"/>
            <w:hideMark/>
          </w:tcPr>
          <w:p w:rsidR="00BA262B" w:rsidRPr="00BA5143" w:rsidRDefault="00BA262B">
            <w:pPr>
              <w:jc w:val="right"/>
              <w:rPr>
                <w:b/>
                <w:sz w:val="20"/>
                <w:szCs w:val="20"/>
                <w:lang w:val="en-US"/>
              </w:rPr>
            </w:pPr>
            <w:r w:rsidRPr="00BA5143">
              <w:rPr>
                <w:b/>
                <w:sz w:val="20"/>
                <w:szCs w:val="20"/>
                <w:lang w:val="en-US"/>
              </w:rPr>
              <w:t>679</w:t>
            </w:r>
          </w:p>
        </w:tc>
        <w:tc>
          <w:tcPr>
            <w:tcW w:w="709" w:type="dxa"/>
            <w:tcBorders>
              <w:top w:val="nil"/>
              <w:left w:val="nil"/>
              <w:bottom w:val="single" w:sz="8" w:space="0" w:color="auto"/>
              <w:right w:val="single" w:sz="4" w:space="0" w:color="000000"/>
            </w:tcBorders>
            <w:vAlign w:val="center"/>
            <w:hideMark/>
          </w:tcPr>
          <w:p w:rsidR="00BA262B" w:rsidRPr="00BA5143" w:rsidRDefault="00BA262B">
            <w:pPr>
              <w:jc w:val="right"/>
              <w:rPr>
                <w:b/>
                <w:sz w:val="20"/>
                <w:szCs w:val="20"/>
                <w:lang w:val="en-US"/>
              </w:rPr>
            </w:pPr>
            <w:r w:rsidRPr="00BA5143">
              <w:rPr>
                <w:b/>
                <w:sz w:val="20"/>
                <w:szCs w:val="20"/>
                <w:lang w:val="en-US"/>
              </w:rPr>
              <w:t>-</w:t>
            </w:r>
          </w:p>
        </w:tc>
        <w:tc>
          <w:tcPr>
            <w:tcW w:w="850" w:type="dxa"/>
            <w:tcBorders>
              <w:top w:val="nil"/>
              <w:left w:val="nil"/>
              <w:bottom w:val="single" w:sz="8" w:space="0" w:color="auto"/>
              <w:right w:val="single" w:sz="4" w:space="0" w:color="000000"/>
            </w:tcBorders>
            <w:vAlign w:val="center"/>
            <w:hideMark/>
          </w:tcPr>
          <w:p w:rsidR="00BA262B" w:rsidRPr="00BA5143" w:rsidRDefault="00BA262B">
            <w:pPr>
              <w:jc w:val="right"/>
              <w:rPr>
                <w:b/>
                <w:sz w:val="20"/>
                <w:szCs w:val="20"/>
                <w:lang w:val="en-US"/>
              </w:rPr>
            </w:pPr>
            <w:r w:rsidRPr="00BA5143">
              <w:rPr>
                <w:b/>
                <w:sz w:val="20"/>
                <w:szCs w:val="20"/>
                <w:lang w:val="en-US"/>
              </w:rPr>
              <w:t>-</w:t>
            </w:r>
          </w:p>
        </w:tc>
        <w:tc>
          <w:tcPr>
            <w:tcW w:w="970" w:type="dxa"/>
            <w:tcBorders>
              <w:top w:val="nil"/>
              <w:left w:val="nil"/>
              <w:bottom w:val="single" w:sz="8" w:space="0" w:color="auto"/>
              <w:right w:val="single" w:sz="4" w:space="0" w:color="000000"/>
            </w:tcBorders>
            <w:vAlign w:val="center"/>
            <w:hideMark/>
          </w:tcPr>
          <w:p w:rsidR="00BA262B" w:rsidRPr="00BA5143" w:rsidRDefault="00BA262B">
            <w:pPr>
              <w:jc w:val="right"/>
              <w:rPr>
                <w:b/>
                <w:sz w:val="20"/>
                <w:szCs w:val="20"/>
                <w:lang w:val="en-US"/>
              </w:rPr>
            </w:pPr>
            <w:r w:rsidRPr="00BA5143">
              <w:rPr>
                <w:b/>
                <w:sz w:val="20"/>
                <w:szCs w:val="20"/>
                <w:lang w:val="en-US"/>
              </w:rPr>
              <w:t>679</w:t>
            </w:r>
          </w:p>
        </w:tc>
      </w:tr>
    </w:tbl>
    <w:p w:rsidR="00341607" w:rsidRPr="00BA5143" w:rsidRDefault="00341607" w:rsidP="00725F29">
      <w:pPr>
        <w:spacing w:line="240" w:lineRule="exact"/>
        <w:ind w:firstLine="567"/>
        <w:jc w:val="both"/>
        <w:rPr>
          <w:b/>
          <w:lang w:val="en-US"/>
        </w:rPr>
      </w:pPr>
    </w:p>
    <w:p w:rsidR="00315869" w:rsidRDefault="00315869" w:rsidP="00AA3176">
      <w:pPr>
        <w:spacing w:line="240" w:lineRule="exact"/>
        <w:rPr>
          <w:b/>
          <w:lang w:val="en-US"/>
        </w:rPr>
      </w:pPr>
    </w:p>
    <w:p w:rsidR="00AA3176" w:rsidRPr="00BA5143" w:rsidRDefault="00AA3176" w:rsidP="00AA3176">
      <w:pPr>
        <w:spacing w:line="240" w:lineRule="exact"/>
        <w:rPr>
          <w:b/>
          <w:lang w:val="en-US"/>
        </w:rPr>
      </w:pPr>
      <w:r w:rsidRPr="00BA5143">
        <w:rPr>
          <w:b/>
          <w:lang w:val="en-US"/>
        </w:rPr>
        <w:t xml:space="preserve">Table 25.2. Changes in profit or loss and equity as a result of possible changes in the official exchange rate of hryvnia against foreign currencies as at the reporting date, provided all other variables remain fixed. </w:t>
      </w:r>
    </w:p>
    <w:p w:rsidR="00AA3176" w:rsidRPr="00BA5143" w:rsidRDefault="00AA3176" w:rsidP="00AA3176">
      <w:pPr>
        <w:spacing w:line="240" w:lineRule="exact"/>
        <w:ind w:firstLine="567"/>
        <w:jc w:val="right"/>
        <w:rPr>
          <w:lang w:val="en-US"/>
        </w:rPr>
      </w:pPr>
      <w:r w:rsidRPr="00BA5143">
        <w:rPr>
          <w:lang w:val="en-US"/>
        </w:rPr>
        <w:t>(ths. UAH.)</w:t>
      </w:r>
    </w:p>
    <w:tbl>
      <w:tblPr>
        <w:tblW w:w="9675" w:type="dxa"/>
        <w:tblInd w:w="82" w:type="dxa"/>
        <w:tblLayout w:type="fixed"/>
        <w:tblLook w:val="04A0"/>
      </w:tblPr>
      <w:tblGrid>
        <w:gridCol w:w="779"/>
        <w:gridCol w:w="4491"/>
        <w:gridCol w:w="1287"/>
        <w:gridCol w:w="992"/>
        <w:gridCol w:w="1134"/>
        <w:gridCol w:w="992"/>
      </w:tblGrid>
      <w:tr w:rsidR="00AA3176" w:rsidRPr="00BA5143" w:rsidTr="00AA3176">
        <w:trPr>
          <w:trHeight w:val="255"/>
        </w:trPr>
        <w:tc>
          <w:tcPr>
            <w:tcW w:w="779" w:type="dxa"/>
            <w:vMerge w:val="restart"/>
            <w:tcBorders>
              <w:top w:val="single" w:sz="8" w:space="0" w:color="auto"/>
              <w:left w:val="single" w:sz="8" w:space="0" w:color="auto"/>
              <w:bottom w:val="single" w:sz="4" w:space="0" w:color="000000"/>
              <w:right w:val="single" w:sz="4" w:space="0" w:color="000000"/>
            </w:tcBorders>
            <w:vAlign w:val="bottom"/>
            <w:hideMark/>
          </w:tcPr>
          <w:p w:rsidR="00AA3176" w:rsidRPr="00BA5143" w:rsidRDefault="00AA3176">
            <w:pPr>
              <w:jc w:val="center"/>
              <w:rPr>
                <w:sz w:val="20"/>
                <w:szCs w:val="20"/>
                <w:lang w:val="en-US"/>
              </w:rPr>
            </w:pPr>
            <w:r w:rsidRPr="00BA5143">
              <w:rPr>
                <w:sz w:val="20"/>
                <w:szCs w:val="20"/>
                <w:lang w:val="en-US"/>
              </w:rPr>
              <w:t>Line </w:t>
            </w:r>
          </w:p>
        </w:tc>
        <w:tc>
          <w:tcPr>
            <w:tcW w:w="4492" w:type="dxa"/>
            <w:vMerge w:val="restart"/>
            <w:tcBorders>
              <w:top w:val="single" w:sz="8" w:space="0" w:color="auto"/>
              <w:left w:val="single" w:sz="4" w:space="0" w:color="000000"/>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Item</w:t>
            </w:r>
          </w:p>
        </w:tc>
        <w:tc>
          <w:tcPr>
            <w:tcW w:w="2279" w:type="dxa"/>
            <w:gridSpan w:val="2"/>
            <w:tcBorders>
              <w:top w:val="single" w:sz="8" w:space="0" w:color="auto"/>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31.12.2018</w:t>
            </w:r>
          </w:p>
        </w:tc>
        <w:tc>
          <w:tcPr>
            <w:tcW w:w="2126" w:type="dxa"/>
            <w:gridSpan w:val="2"/>
            <w:tcBorders>
              <w:top w:val="single" w:sz="8" w:space="0" w:color="auto"/>
              <w:left w:val="nil"/>
              <w:bottom w:val="single" w:sz="4" w:space="0" w:color="000000"/>
              <w:right w:val="single" w:sz="8" w:space="0" w:color="000000"/>
            </w:tcBorders>
            <w:vAlign w:val="center"/>
            <w:hideMark/>
          </w:tcPr>
          <w:p w:rsidR="00AA3176" w:rsidRPr="00BA5143" w:rsidRDefault="00AA3176">
            <w:pPr>
              <w:jc w:val="center"/>
              <w:rPr>
                <w:sz w:val="20"/>
                <w:szCs w:val="20"/>
                <w:lang w:val="en-US"/>
              </w:rPr>
            </w:pPr>
            <w:r w:rsidRPr="00BA5143">
              <w:rPr>
                <w:sz w:val="20"/>
                <w:szCs w:val="20"/>
                <w:lang w:val="en-US"/>
              </w:rPr>
              <w:t>31.12.2017</w:t>
            </w:r>
          </w:p>
        </w:tc>
      </w:tr>
      <w:tr w:rsidR="00AA3176" w:rsidRPr="00BA5143" w:rsidTr="00AA3176">
        <w:trPr>
          <w:trHeight w:val="795"/>
        </w:trPr>
        <w:tc>
          <w:tcPr>
            <w:tcW w:w="779" w:type="dxa"/>
            <w:vMerge/>
            <w:tcBorders>
              <w:top w:val="single" w:sz="8" w:space="0" w:color="auto"/>
              <w:left w:val="single" w:sz="8" w:space="0" w:color="auto"/>
              <w:bottom w:val="single" w:sz="4" w:space="0" w:color="000000"/>
              <w:right w:val="single" w:sz="4" w:space="0" w:color="000000"/>
            </w:tcBorders>
            <w:vAlign w:val="center"/>
            <w:hideMark/>
          </w:tcPr>
          <w:p w:rsidR="00AA3176" w:rsidRPr="00BA5143" w:rsidRDefault="00AA3176">
            <w:pPr>
              <w:rPr>
                <w:sz w:val="20"/>
                <w:szCs w:val="20"/>
                <w:lang w:val="en-US"/>
              </w:rPr>
            </w:pPr>
          </w:p>
        </w:tc>
        <w:tc>
          <w:tcPr>
            <w:tcW w:w="4492" w:type="dxa"/>
            <w:vMerge/>
            <w:tcBorders>
              <w:top w:val="single" w:sz="8" w:space="0" w:color="auto"/>
              <w:left w:val="single" w:sz="4" w:space="0" w:color="000000"/>
              <w:bottom w:val="single" w:sz="4" w:space="0" w:color="000000"/>
              <w:right w:val="single" w:sz="4" w:space="0" w:color="000000"/>
            </w:tcBorders>
            <w:vAlign w:val="center"/>
            <w:hideMark/>
          </w:tcPr>
          <w:p w:rsidR="00AA3176" w:rsidRPr="00BA5143" w:rsidRDefault="00AA3176">
            <w:pPr>
              <w:rPr>
                <w:sz w:val="20"/>
                <w:szCs w:val="20"/>
                <w:lang w:val="en-US"/>
              </w:rPr>
            </w:pPr>
          </w:p>
        </w:tc>
        <w:tc>
          <w:tcPr>
            <w:tcW w:w="1287"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profit / (loss)</w:t>
            </w:r>
          </w:p>
        </w:tc>
        <w:tc>
          <w:tcPr>
            <w:tcW w:w="992"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equity</w:t>
            </w: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profit / (loss)</w:t>
            </w:r>
          </w:p>
        </w:tc>
        <w:tc>
          <w:tcPr>
            <w:tcW w:w="992" w:type="dxa"/>
            <w:tcBorders>
              <w:top w:val="nil"/>
              <w:left w:val="nil"/>
              <w:bottom w:val="single" w:sz="4" w:space="0" w:color="000000"/>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impact on equity</w:t>
            </w:r>
          </w:p>
        </w:tc>
      </w:tr>
      <w:tr w:rsidR="00AA3176" w:rsidRPr="00BA5143" w:rsidTr="00AA3176">
        <w:trPr>
          <w:trHeight w:val="70"/>
        </w:trPr>
        <w:tc>
          <w:tcPr>
            <w:tcW w:w="779"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1</w:t>
            </w:r>
          </w:p>
        </w:tc>
        <w:tc>
          <w:tcPr>
            <w:tcW w:w="4492"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2</w:t>
            </w:r>
          </w:p>
        </w:tc>
        <w:tc>
          <w:tcPr>
            <w:tcW w:w="1287"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w:t>
            </w:r>
          </w:p>
        </w:tc>
        <w:tc>
          <w:tcPr>
            <w:tcW w:w="992"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4</w:t>
            </w: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5</w:t>
            </w:r>
          </w:p>
        </w:tc>
        <w:tc>
          <w:tcPr>
            <w:tcW w:w="992" w:type="dxa"/>
            <w:tcBorders>
              <w:top w:val="nil"/>
              <w:left w:val="nil"/>
              <w:bottom w:val="single" w:sz="4" w:space="0" w:color="000000"/>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6</w:t>
            </w:r>
          </w:p>
        </w:tc>
      </w:tr>
      <w:tr w:rsidR="00AA3176" w:rsidRPr="00BA5143" w:rsidTr="00AA3176">
        <w:trPr>
          <w:trHeight w:val="58"/>
        </w:trPr>
        <w:tc>
          <w:tcPr>
            <w:tcW w:w="779" w:type="dxa"/>
            <w:tcBorders>
              <w:top w:val="nil"/>
              <w:left w:val="single" w:sz="8" w:space="0" w:color="auto"/>
              <w:bottom w:val="single" w:sz="4" w:space="0" w:color="auto"/>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1</w:t>
            </w:r>
          </w:p>
        </w:tc>
        <w:tc>
          <w:tcPr>
            <w:tcW w:w="4492" w:type="dxa"/>
            <w:tcBorders>
              <w:top w:val="nil"/>
              <w:left w:val="nil"/>
              <w:bottom w:val="single" w:sz="4" w:space="0" w:color="auto"/>
              <w:right w:val="single" w:sz="4" w:space="0" w:color="000000"/>
            </w:tcBorders>
            <w:hideMark/>
          </w:tcPr>
          <w:p w:rsidR="00AA3176" w:rsidRPr="00BA5143" w:rsidRDefault="00AA3176">
            <w:pPr>
              <w:rPr>
                <w:sz w:val="20"/>
                <w:szCs w:val="20"/>
                <w:lang w:val="en-US"/>
              </w:rPr>
            </w:pPr>
            <w:r w:rsidRPr="00BA5143">
              <w:rPr>
                <w:sz w:val="20"/>
                <w:szCs w:val="20"/>
                <w:lang w:val="en-US"/>
              </w:rPr>
              <w:t>Strengthening the USD by 5%</w:t>
            </w:r>
          </w:p>
        </w:tc>
        <w:tc>
          <w:tcPr>
            <w:tcW w:w="1287" w:type="dxa"/>
            <w:tcBorders>
              <w:top w:val="single" w:sz="4" w:space="0" w:color="auto"/>
              <w:left w:val="single" w:sz="4" w:space="0" w:color="auto"/>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20</w:t>
            </w:r>
          </w:p>
        </w:tc>
        <w:tc>
          <w:tcPr>
            <w:tcW w:w="992" w:type="dxa"/>
            <w:tcBorders>
              <w:top w:val="single" w:sz="4" w:space="0" w:color="auto"/>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 20 </w:t>
            </w:r>
          </w:p>
        </w:tc>
        <w:tc>
          <w:tcPr>
            <w:tcW w:w="1134" w:type="dxa"/>
            <w:tcBorders>
              <w:top w:val="single" w:sz="4" w:space="0" w:color="auto"/>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single" w:sz="4" w:space="0" w:color="auto"/>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68"/>
        </w:trPr>
        <w:tc>
          <w:tcPr>
            <w:tcW w:w="779" w:type="dxa"/>
            <w:tcBorders>
              <w:top w:val="single" w:sz="4" w:space="0" w:color="auto"/>
              <w:left w:val="single" w:sz="4"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2</w:t>
            </w:r>
          </w:p>
        </w:tc>
        <w:tc>
          <w:tcPr>
            <w:tcW w:w="4492" w:type="dxa"/>
            <w:tcBorders>
              <w:top w:val="single" w:sz="4" w:space="0" w:color="auto"/>
              <w:left w:val="single" w:sz="4" w:space="0" w:color="auto"/>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5% weakening of the USD</w:t>
            </w:r>
          </w:p>
        </w:tc>
        <w:tc>
          <w:tcPr>
            <w:tcW w:w="1287"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68"/>
        </w:trPr>
        <w:tc>
          <w:tcPr>
            <w:tcW w:w="779" w:type="dxa"/>
            <w:tcBorders>
              <w:top w:val="single" w:sz="4" w:space="0" w:color="auto"/>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w:t>
            </w:r>
          </w:p>
        </w:tc>
        <w:tc>
          <w:tcPr>
            <w:tcW w:w="4492" w:type="dxa"/>
            <w:tcBorders>
              <w:top w:val="single" w:sz="4" w:space="0" w:color="auto"/>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Strengthening the euro by 5%</w:t>
            </w:r>
          </w:p>
        </w:tc>
        <w:tc>
          <w:tcPr>
            <w:tcW w:w="1287" w:type="dxa"/>
            <w:tcBorders>
              <w:top w:val="nil"/>
              <w:left w:val="single" w:sz="4" w:space="0" w:color="auto"/>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7</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7 </w:t>
            </w:r>
          </w:p>
        </w:tc>
        <w:tc>
          <w:tcPr>
            <w:tcW w:w="1134"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68"/>
        </w:trPr>
        <w:tc>
          <w:tcPr>
            <w:tcW w:w="779"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4</w:t>
            </w:r>
          </w:p>
        </w:tc>
        <w:tc>
          <w:tcPr>
            <w:tcW w:w="4492"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Easing the euro by 5%</w:t>
            </w:r>
          </w:p>
        </w:tc>
        <w:tc>
          <w:tcPr>
            <w:tcW w:w="1287"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68"/>
        </w:trPr>
        <w:tc>
          <w:tcPr>
            <w:tcW w:w="779"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w:t>
            </w:r>
          </w:p>
        </w:tc>
        <w:tc>
          <w:tcPr>
            <w:tcW w:w="4492"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Strengthening yuan by 5%</w:t>
            </w:r>
          </w:p>
        </w:tc>
        <w:tc>
          <w:tcPr>
            <w:tcW w:w="1287" w:type="dxa"/>
            <w:tcBorders>
              <w:top w:val="nil"/>
              <w:left w:val="single" w:sz="4" w:space="0" w:color="auto"/>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5 </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5 </w:t>
            </w:r>
          </w:p>
        </w:tc>
        <w:tc>
          <w:tcPr>
            <w:tcW w:w="1134"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r>
      <w:tr w:rsidR="00AA3176" w:rsidRPr="00BA5143" w:rsidTr="00AA3176">
        <w:trPr>
          <w:trHeight w:val="68"/>
        </w:trPr>
        <w:tc>
          <w:tcPr>
            <w:tcW w:w="779"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4</w:t>
            </w:r>
          </w:p>
        </w:tc>
        <w:tc>
          <w:tcPr>
            <w:tcW w:w="4492"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Weakening yuan by 5%</w:t>
            </w:r>
          </w:p>
        </w:tc>
        <w:tc>
          <w:tcPr>
            <w:tcW w:w="1287"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(5)</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(5)</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w:t>
            </w:r>
          </w:p>
        </w:tc>
      </w:tr>
    </w:tbl>
    <w:p w:rsidR="00AA3176" w:rsidRPr="00BA5143" w:rsidRDefault="00AA3176" w:rsidP="00AA3176">
      <w:pPr>
        <w:pStyle w:val="afc"/>
        <w:spacing w:line="240" w:lineRule="exact"/>
        <w:ind w:left="0" w:firstLine="567"/>
        <w:jc w:val="both"/>
        <w:rPr>
          <w:b/>
          <w:lang w:val="en-US"/>
        </w:rPr>
      </w:pPr>
    </w:p>
    <w:p w:rsidR="00AA3176" w:rsidRPr="00BA5143" w:rsidRDefault="00AA3176" w:rsidP="00AA3176">
      <w:pPr>
        <w:pStyle w:val="afc"/>
        <w:spacing w:line="240" w:lineRule="exact"/>
        <w:ind w:left="142"/>
        <w:rPr>
          <w:sz w:val="20"/>
          <w:szCs w:val="20"/>
          <w:lang w:val="en-US"/>
        </w:rPr>
      </w:pPr>
      <w:proofErr w:type="gramStart"/>
      <w:r w:rsidRPr="00BA5143">
        <w:rPr>
          <w:b/>
          <w:lang w:val="en-US"/>
        </w:rPr>
        <w:t>Table 25.3.</w:t>
      </w:r>
      <w:proofErr w:type="gramEnd"/>
      <w:r w:rsidRPr="00BA5143">
        <w:rPr>
          <w:b/>
          <w:lang w:val="en-US"/>
        </w:rPr>
        <w:t xml:space="preserve"> Change in profit or loss and equity as a result of possible changes in the official exchange rate of hryvnia to foreign currencies, established as the weighted average rate, provided all other variables remain fixed</w:t>
      </w:r>
      <w:r w:rsidR="00725F29" w:rsidRPr="00BA5143">
        <w:rPr>
          <w:sz w:val="20"/>
          <w:szCs w:val="20"/>
          <w:lang w:val="en-US"/>
        </w:rPr>
        <w:t xml:space="preserve"> </w:t>
      </w:r>
    </w:p>
    <w:p w:rsidR="00AA3176" w:rsidRPr="00BA5143" w:rsidRDefault="00AA3176" w:rsidP="00AA3176">
      <w:pPr>
        <w:spacing w:line="240" w:lineRule="exact"/>
        <w:ind w:firstLine="567"/>
        <w:jc w:val="right"/>
        <w:rPr>
          <w:lang w:val="en-US"/>
        </w:rPr>
      </w:pPr>
      <w:r w:rsidRPr="00BA5143">
        <w:rPr>
          <w:lang w:val="en-US"/>
        </w:rPr>
        <w:t>(ths. UAH.)</w:t>
      </w:r>
    </w:p>
    <w:tbl>
      <w:tblPr>
        <w:tblW w:w="9510" w:type="dxa"/>
        <w:tblInd w:w="93" w:type="dxa"/>
        <w:tblLayout w:type="fixed"/>
        <w:tblLook w:val="04A0"/>
      </w:tblPr>
      <w:tblGrid>
        <w:gridCol w:w="849"/>
        <w:gridCol w:w="4409"/>
        <w:gridCol w:w="1134"/>
        <w:gridCol w:w="992"/>
        <w:gridCol w:w="1134"/>
        <w:gridCol w:w="992"/>
      </w:tblGrid>
      <w:tr w:rsidR="00AA3176" w:rsidRPr="006C58AD" w:rsidTr="00AA3176">
        <w:trPr>
          <w:trHeight w:val="870"/>
        </w:trPr>
        <w:tc>
          <w:tcPr>
            <w:tcW w:w="850" w:type="dxa"/>
            <w:vMerge w:val="restart"/>
            <w:tcBorders>
              <w:top w:val="single" w:sz="8" w:space="0" w:color="auto"/>
              <w:left w:val="single" w:sz="8" w:space="0" w:color="auto"/>
              <w:bottom w:val="single" w:sz="4" w:space="0" w:color="000000"/>
              <w:right w:val="single" w:sz="4" w:space="0" w:color="000000"/>
            </w:tcBorders>
            <w:vAlign w:val="bottom"/>
            <w:hideMark/>
          </w:tcPr>
          <w:p w:rsidR="00AA3176" w:rsidRPr="00BA5143" w:rsidRDefault="00AA3176">
            <w:pPr>
              <w:jc w:val="center"/>
              <w:rPr>
                <w:sz w:val="20"/>
                <w:szCs w:val="20"/>
                <w:lang w:val="en-US"/>
              </w:rPr>
            </w:pPr>
            <w:r w:rsidRPr="00BA5143">
              <w:rPr>
                <w:sz w:val="20"/>
                <w:szCs w:val="20"/>
                <w:lang w:val="en-US"/>
              </w:rPr>
              <w:t>Line </w:t>
            </w:r>
          </w:p>
        </w:tc>
        <w:tc>
          <w:tcPr>
            <w:tcW w:w="4410" w:type="dxa"/>
            <w:vMerge w:val="restart"/>
            <w:tcBorders>
              <w:top w:val="single" w:sz="8" w:space="0" w:color="auto"/>
              <w:left w:val="single" w:sz="4" w:space="0" w:color="000000"/>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Item</w:t>
            </w:r>
          </w:p>
        </w:tc>
        <w:tc>
          <w:tcPr>
            <w:tcW w:w="2126" w:type="dxa"/>
            <w:gridSpan w:val="2"/>
            <w:tcBorders>
              <w:top w:val="single" w:sz="8" w:space="0" w:color="auto"/>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The weighted average exchange rate of 2018</w:t>
            </w:r>
          </w:p>
        </w:tc>
        <w:tc>
          <w:tcPr>
            <w:tcW w:w="2126" w:type="dxa"/>
            <w:gridSpan w:val="2"/>
            <w:tcBorders>
              <w:top w:val="single" w:sz="8" w:space="0" w:color="auto"/>
              <w:left w:val="nil"/>
              <w:bottom w:val="single" w:sz="4" w:space="0" w:color="000000"/>
              <w:right w:val="single" w:sz="8" w:space="0" w:color="000000"/>
            </w:tcBorders>
            <w:vAlign w:val="center"/>
            <w:hideMark/>
          </w:tcPr>
          <w:p w:rsidR="00AA3176" w:rsidRPr="00BA5143" w:rsidRDefault="00AA3176">
            <w:pPr>
              <w:jc w:val="center"/>
              <w:rPr>
                <w:sz w:val="20"/>
                <w:szCs w:val="20"/>
                <w:lang w:val="en-US"/>
              </w:rPr>
            </w:pPr>
            <w:r w:rsidRPr="00BA5143">
              <w:rPr>
                <w:sz w:val="20"/>
                <w:szCs w:val="20"/>
                <w:lang w:val="en-US"/>
              </w:rPr>
              <w:t>The weighted average exchange rate of 2017</w:t>
            </w:r>
          </w:p>
        </w:tc>
      </w:tr>
      <w:tr w:rsidR="00AA3176" w:rsidRPr="00BA5143" w:rsidTr="00AA3176">
        <w:trPr>
          <w:trHeight w:val="765"/>
        </w:trPr>
        <w:tc>
          <w:tcPr>
            <w:tcW w:w="850" w:type="dxa"/>
            <w:vMerge/>
            <w:tcBorders>
              <w:top w:val="single" w:sz="8" w:space="0" w:color="auto"/>
              <w:left w:val="single" w:sz="8" w:space="0" w:color="auto"/>
              <w:bottom w:val="single" w:sz="4" w:space="0" w:color="000000"/>
              <w:right w:val="single" w:sz="4" w:space="0" w:color="000000"/>
            </w:tcBorders>
            <w:vAlign w:val="center"/>
            <w:hideMark/>
          </w:tcPr>
          <w:p w:rsidR="00AA3176" w:rsidRPr="00BA5143" w:rsidRDefault="00AA3176">
            <w:pPr>
              <w:rPr>
                <w:sz w:val="20"/>
                <w:szCs w:val="20"/>
                <w:lang w:val="en-US"/>
              </w:rPr>
            </w:pPr>
          </w:p>
        </w:tc>
        <w:tc>
          <w:tcPr>
            <w:tcW w:w="4410" w:type="dxa"/>
            <w:vMerge/>
            <w:tcBorders>
              <w:top w:val="single" w:sz="8" w:space="0" w:color="auto"/>
              <w:left w:val="single" w:sz="4" w:space="0" w:color="000000"/>
              <w:bottom w:val="single" w:sz="4" w:space="0" w:color="000000"/>
              <w:right w:val="single" w:sz="4" w:space="0" w:color="000000"/>
            </w:tcBorders>
            <w:vAlign w:val="center"/>
            <w:hideMark/>
          </w:tcPr>
          <w:p w:rsidR="00AA3176" w:rsidRPr="00BA5143" w:rsidRDefault="00AA3176">
            <w:pPr>
              <w:rPr>
                <w:sz w:val="20"/>
                <w:szCs w:val="20"/>
                <w:lang w:val="en-US"/>
              </w:rPr>
            </w:pP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profit / (loss)</w:t>
            </w:r>
          </w:p>
        </w:tc>
        <w:tc>
          <w:tcPr>
            <w:tcW w:w="992"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equity</w:t>
            </w: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impact on profit / (loss)</w:t>
            </w:r>
          </w:p>
        </w:tc>
        <w:tc>
          <w:tcPr>
            <w:tcW w:w="992" w:type="dxa"/>
            <w:tcBorders>
              <w:top w:val="nil"/>
              <w:left w:val="nil"/>
              <w:bottom w:val="single" w:sz="4" w:space="0" w:color="000000"/>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impact on equity</w:t>
            </w:r>
          </w:p>
        </w:tc>
      </w:tr>
      <w:tr w:rsidR="00AA3176" w:rsidRPr="00BA5143" w:rsidTr="00AA3176">
        <w:trPr>
          <w:trHeight w:val="255"/>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1 </w:t>
            </w:r>
          </w:p>
        </w:tc>
        <w:tc>
          <w:tcPr>
            <w:tcW w:w="4410"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2 </w:t>
            </w: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3 </w:t>
            </w:r>
          </w:p>
        </w:tc>
        <w:tc>
          <w:tcPr>
            <w:tcW w:w="992"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4 </w:t>
            </w:r>
          </w:p>
        </w:tc>
        <w:tc>
          <w:tcPr>
            <w:tcW w:w="1134" w:type="dxa"/>
            <w:tcBorders>
              <w:top w:val="nil"/>
              <w:left w:val="nil"/>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5 </w:t>
            </w:r>
          </w:p>
        </w:tc>
        <w:tc>
          <w:tcPr>
            <w:tcW w:w="992" w:type="dxa"/>
            <w:tcBorders>
              <w:top w:val="nil"/>
              <w:left w:val="nil"/>
              <w:bottom w:val="single" w:sz="4" w:space="0" w:color="000000"/>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6 </w:t>
            </w:r>
          </w:p>
        </w:tc>
      </w:tr>
      <w:tr w:rsidR="00AA3176" w:rsidRPr="00BA5143" w:rsidTr="00AA3176">
        <w:trPr>
          <w:trHeight w:val="191"/>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1 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Strengthening the USD by 5%</w:t>
            </w:r>
          </w:p>
        </w:tc>
        <w:tc>
          <w:tcPr>
            <w:tcW w:w="1134" w:type="dxa"/>
            <w:tcBorders>
              <w:top w:val="single" w:sz="4" w:space="0" w:color="auto"/>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992" w:type="dxa"/>
            <w:tcBorders>
              <w:top w:val="single" w:sz="4" w:space="0" w:color="auto"/>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1134" w:type="dxa"/>
            <w:tcBorders>
              <w:top w:val="single" w:sz="4" w:space="0" w:color="auto"/>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single" w:sz="4" w:space="0" w:color="auto"/>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283"/>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2 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5% weakening of the USD</w:t>
            </w:r>
          </w:p>
        </w:tc>
        <w:tc>
          <w:tcPr>
            <w:tcW w:w="1134"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(20)</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(17)</w:t>
            </w:r>
          </w:p>
        </w:tc>
      </w:tr>
      <w:tr w:rsidR="00AA3176" w:rsidRPr="00BA5143" w:rsidTr="00AA3176">
        <w:trPr>
          <w:trHeight w:val="255"/>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3 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Strengthening the euro by 5%</w:t>
            </w:r>
          </w:p>
        </w:tc>
        <w:tc>
          <w:tcPr>
            <w:tcW w:w="1134"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15</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15</w:t>
            </w:r>
          </w:p>
        </w:tc>
      </w:tr>
      <w:tr w:rsidR="00AA3176" w:rsidRPr="00BA5143" w:rsidTr="00AA3176">
        <w:trPr>
          <w:trHeight w:val="70"/>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4 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Easing the euro by 5%</w:t>
            </w:r>
          </w:p>
        </w:tc>
        <w:tc>
          <w:tcPr>
            <w:tcW w:w="1134"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(7)</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(15)</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(15)</w:t>
            </w:r>
          </w:p>
        </w:tc>
      </w:tr>
      <w:tr w:rsidR="00AA3176" w:rsidRPr="00BA5143" w:rsidTr="00AA3176">
        <w:trPr>
          <w:trHeight w:val="70"/>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5 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Strengthening yuan by 5%</w:t>
            </w:r>
          </w:p>
        </w:tc>
        <w:tc>
          <w:tcPr>
            <w:tcW w:w="1134" w:type="dxa"/>
            <w:tcBorders>
              <w:top w:val="nil"/>
              <w:left w:val="single" w:sz="4" w:space="0" w:color="auto"/>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5   </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 xml:space="preserve"> 5   </w:t>
            </w:r>
          </w:p>
        </w:tc>
        <w:tc>
          <w:tcPr>
            <w:tcW w:w="1134"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r>
      <w:tr w:rsidR="00AA3176" w:rsidRPr="00BA5143" w:rsidTr="00AA3176">
        <w:trPr>
          <w:trHeight w:val="70"/>
        </w:trPr>
        <w:tc>
          <w:tcPr>
            <w:tcW w:w="850" w:type="dxa"/>
            <w:tcBorders>
              <w:top w:val="nil"/>
              <w:left w:val="single" w:sz="8" w:space="0" w:color="auto"/>
              <w:bottom w:val="single" w:sz="4" w:space="0" w:color="000000"/>
              <w:right w:val="single" w:sz="4" w:space="0" w:color="000000"/>
            </w:tcBorders>
            <w:vAlign w:val="center"/>
            <w:hideMark/>
          </w:tcPr>
          <w:p w:rsidR="00AA3176" w:rsidRPr="00BA5143" w:rsidRDefault="00AA3176">
            <w:pPr>
              <w:jc w:val="center"/>
              <w:rPr>
                <w:sz w:val="20"/>
                <w:szCs w:val="20"/>
                <w:lang w:val="en-US"/>
              </w:rPr>
            </w:pPr>
            <w:r w:rsidRPr="00BA5143">
              <w:rPr>
                <w:sz w:val="20"/>
                <w:szCs w:val="20"/>
                <w:lang w:val="en-US"/>
              </w:rPr>
              <w:t>6 </w:t>
            </w:r>
          </w:p>
        </w:tc>
        <w:tc>
          <w:tcPr>
            <w:tcW w:w="4410" w:type="dxa"/>
            <w:tcBorders>
              <w:top w:val="nil"/>
              <w:left w:val="nil"/>
              <w:bottom w:val="single" w:sz="4" w:space="0" w:color="000000"/>
              <w:right w:val="single" w:sz="4" w:space="0" w:color="000000"/>
            </w:tcBorders>
            <w:hideMark/>
          </w:tcPr>
          <w:p w:rsidR="00AA3176" w:rsidRPr="00BA5143" w:rsidRDefault="00AA3176">
            <w:pPr>
              <w:rPr>
                <w:sz w:val="20"/>
                <w:szCs w:val="20"/>
                <w:lang w:val="en-US"/>
              </w:rPr>
            </w:pPr>
            <w:r w:rsidRPr="00BA5143">
              <w:rPr>
                <w:sz w:val="20"/>
                <w:szCs w:val="20"/>
                <w:lang w:val="en-US"/>
              </w:rPr>
              <w:t>Weakening yuan by 5%</w:t>
            </w:r>
          </w:p>
        </w:tc>
        <w:tc>
          <w:tcPr>
            <w:tcW w:w="1134" w:type="dxa"/>
            <w:tcBorders>
              <w:top w:val="nil"/>
              <w:left w:val="single" w:sz="4" w:space="0" w:color="auto"/>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(5)</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(5)</w:t>
            </w:r>
          </w:p>
        </w:tc>
        <w:tc>
          <w:tcPr>
            <w:tcW w:w="1134"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hideMark/>
          </w:tcPr>
          <w:p w:rsidR="00AA3176" w:rsidRPr="00BA5143" w:rsidRDefault="00AA3176">
            <w:pPr>
              <w:jc w:val="right"/>
              <w:rPr>
                <w:sz w:val="20"/>
                <w:szCs w:val="20"/>
                <w:lang w:val="en-US"/>
              </w:rPr>
            </w:pPr>
            <w:r w:rsidRPr="00BA5143">
              <w:rPr>
                <w:sz w:val="20"/>
                <w:szCs w:val="20"/>
                <w:lang w:val="en-US"/>
              </w:rPr>
              <w:t>-</w:t>
            </w:r>
          </w:p>
        </w:tc>
      </w:tr>
    </w:tbl>
    <w:p w:rsidR="00725F29" w:rsidRPr="00BA5143" w:rsidRDefault="00725F29" w:rsidP="00725F29">
      <w:pPr>
        <w:pStyle w:val="afc"/>
        <w:spacing w:line="240" w:lineRule="exact"/>
        <w:ind w:left="0" w:firstLine="567"/>
        <w:jc w:val="both"/>
        <w:rPr>
          <w:b/>
          <w:lang w:val="en-US"/>
        </w:rPr>
      </w:pPr>
    </w:p>
    <w:p w:rsidR="002401CF" w:rsidRPr="00BA5143" w:rsidRDefault="0044685E" w:rsidP="00725F29">
      <w:pPr>
        <w:ind w:firstLine="540"/>
        <w:jc w:val="both"/>
        <w:rPr>
          <w:b/>
          <w:lang w:val="en-US"/>
        </w:rPr>
      </w:pPr>
      <w:r w:rsidRPr="00BA5143">
        <w:rPr>
          <w:b/>
          <w:lang w:val="en-US"/>
        </w:rPr>
        <w:t>Interest rate risk</w:t>
      </w:r>
    </w:p>
    <w:p w:rsidR="0044685E" w:rsidRPr="00BA5143" w:rsidRDefault="0044685E" w:rsidP="00725F29">
      <w:pPr>
        <w:ind w:firstLine="540"/>
        <w:jc w:val="both"/>
        <w:rPr>
          <w:lang w:val="en-US"/>
        </w:rPr>
      </w:pPr>
    </w:p>
    <w:p w:rsidR="0044685E" w:rsidRPr="00BA5143" w:rsidRDefault="0044685E" w:rsidP="0044685E">
      <w:pPr>
        <w:ind w:firstLine="540"/>
        <w:jc w:val="both"/>
        <w:rPr>
          <w:lang w:val="en-US"/>
        </w:rPr>
      </w:pPr>
      <w:r w:rsidRPr="00BA5143">
        <w:rPr>
          <w:lang w:val="en-US"/>
        </w:rPr>
        <w:lastRenderedPageBreak/>
        <w:t>Interest rate risk is the likelihood of a loss or additional loss or lack of expected income as a result of adverse changes in interest rates. This risk affects both the profitability of the Bank (in the short term) and its economic value (in the long run). Interest risk may occur in the following cases:</w:t>
      </w:r>
    </w:p>
    <w:p w:rsidR="0044685E" w:rsidRPr="00BA5143" w:rsidRDefault="0044685E" w:rsidP="0044685E">
      <w:pPr>
        <w:pStyle w:val="afc"/>
        <w:numPr>
          <w:ilvl w:val="0"/>
          <w:numId w:val="35"/>
        </w:numPr>
        <w:jc w:val="both"/>
        <w:rPr>
          <w:lang w:val="en-US"/>
        </w:rPr>
      </w:pPr>
      <w:r w:rsidRPr="00BA5143">
        <w:rPr>
          <w:lang w:val="en-US"/>
        </w:rPr>
        <w:t>there are differences in terms of returning the funds provided and borrowed;</w:t>
      </w:r>
    </w:p>
    <w:p w:rsidR="0044685E" w:rsidRPr="00BA5143" w:rsidRDefault="0044685E" w:rsidP="0044685E">
      <w:pPr>
        <w:pStyle w:val="afc"/>
        <w:numPr>
          <w:ilvl w:val="0"/>
          <w:numId w:val="35"/>
        </w:numPr>
        <w:jc w:val="both"/>
        <w:rPr>
          <w:lang w:val="en-US"/>
        </w:rPr>
      </w:pPr>
      <w:r w:rsidRPr="00BA5143">
        <w:rPr>
          <w:lang w:val="en-US"/>
        </w:rPr>
        <w:t>availability of discrepancies in bidding for active and passive transactions (fixed rates against variables and vice versa);</w:t>
      </w:r>
    </w:p>
    <w:p w:rsidR="0044685E" w:rsidRPr="00BA5143" w:rsidRDefault="0044685E" w:rsidP="0044685E">
      <w:pPr>
        <w:pStyle w:val="afc"/>
        <w:numPr>
          <w:ilvl w:val="0"/>
          <w:numId w:val="35"/>
        </w:numPr>
        <w:jc w:val="both"/>
        <w:rPr>
          <w:lang w:val="en-US"/>
        </w:rPr>
      </w:pPr>
      <w:r w:rsidRPr="00BA5143">
        <w:rPr>
          <w:lang w:val="en-US"/>
        </w:rPr>
        <w:t>incorrect forecasting of the Bank's yield curve.</w:t>
      </w:r>
    </w:p>
    <w:p w:rsidR="0044685E" w:rsidRPr="00BA5143" w:rsidRDefault="0044685E" w:rsidP="0044685E">
      <w:pPr>
        <w:ind w:firstLine="425"/>
        <w:jc w:val="both"/>
        <w:rPr>
          <w:lang w:val="en-US"/>
        </w:rPr>
      </w:pPr>
      <w:r w:rsidRPr="00BA5143">
        <w:rPr>
          <w:lang w:val="en-US"/>
        </w:rPr>
        <w:t>Interest rate risk management is carried out using GAP analysis (break / imbalance analysis), as well as by managing the terms on which the Bank attracts or places funds. This analysis is carried out on the basis of simulation calculation of possible losses in different directions of interest rate changes. This allows you to calculate the interest income / loss of the Bank or possible loss of interest income, which enables the management of the Bank to investigate the change in interest rate risk under different economic conditions.</w:t>
      </w:r>
    </w:p>
    <w:p w:rsidR="0044685E" w:rsidRPr="00BA5143" w:rsidRDefault="0044685E" w:rsidP="0044685E">
      <w:pPr>
        <w:ind w:firstLine="425"/>
        <w:jc w:val="both"/>
        <w:rPr>
          <w:lang w:val="en-US"/>
        </w:rPr>
      </w:pPr>
      <w:r w:rsidRPr="00BA5143">
        <w:rPr>
          <w:lang w:val="en-US"/>
        </w:rPr>
        <w:t>In determining the open interest rate position, assets and liabilities and off-balance sheet liabilities of the Bank that are sensitive to interest rate changes are allocated on appropriate periods of return / repayment (for instruments with a fixed interest rate) or by interest rate changes (for instruments with a variable interest rate).</w:t>
      </w:r>
    </w:p>
    <w:p w:rsidR="00725F29" w:rsidRPr="00BA5143" w:rsidRDefault="0044685E" w:rsidP="0044685E">
      <w:pPr>
        <w:ind w:firstLine="425"/>
        <w:jc w:val="both"/>
        <w:rPr>
          <w:lang w:val="en-US"/>
        </w:rPr>
      </w:pPr>
      <w:r w:rsidRPr="00BA5143">
        <w:rPr>
          <w:lang w:val="en-US"/>
        </w:rPr>
        <w:t>Interest rate risk management is carried out using the following tools:</w:t>
      </w:r>
    </w:p>
    <w:p w:rsidR="0044685E" w:rsidRPr="00BA5143" w:rsidRDefault="0044685E" w:rsidP="00C5020F">
      <w:pPr>
        <w:pStyle w:val="afc"/>
        <w:numPr>
          <w:ilvl w:val="0"/>
          <w:numId w:val="35"/>
        </w:numPr>
        <w:tabs>
          <w:tab w:val="left" w:pos="284"/>
        </w:tabs>
        <w:ind w:left="284" w:firstLine="283"/>
        <w:jc w:val="both"/>
        <w:rPr>
          <w:lang w:val="en-US"/>
        </w:rPr>
      </w:pPr>
      <w:r w:rsidRPr="00BA5143">
        <w:rPr>
          <w:lang w:val="en-US"/>
        </w:rPr>
        <w:t>measurement, estimation and comparison of the dynamics of interest rates in the Bank and the average market, as well as the volume of assets and liabilities sensitive to interest rate changes, GAP analysis;</w:t>
      </w:r>
    </w:p>
    <w:p w:rsidR="0044685E" w:rsidRPr="00BA5143" w:rsidRDefault="0044685E" w:rsidP="00C5020F">
      <w:pPr>
        <w:pStyle w:val="afc"/>
        <w:numPr>
          <w:ilvl w:val="0"/>
          <w:numId w:val="35"/>
        </w:numPr>
        <w:tabs>
          <w:tab w:val="left" w:pos="284"/>
        </w:tabs>
        <w:ind w:left="284" w:firstLine="283"/>
        <w:jc w:val="both"/>
        <w:rPr>
          <w:lang w:val="en-US"/>
        </w:rPr>
      </w:pPr>
      <w:r w:rsidRPr="00BA5143">
        <w:rPr>
          <w:lang w:val="en-US"/>
        </w:rPr>
        <w:t>structuring of assets and liabilities of the Bank in accordance with the rules,</w:t>
      </w:r>
    </w:p>
    <w:p w:rsidR="0044685E" w:rsidRPr="00BA5143" w:rsidRDefault="0044685E" w:rsidP="00C5020F">
      <w:pPr>
        <w:tabs>
          <w:tab w:val="left" w:pos="284"/>
        </w:tabs>
        <w:ind w:left="284" w:firstLine="283"/>
        <w:jc w:val="both"/>
        <w:rPr>
          <w:lang w:val="en-US"/>
        </w:rPr>
      </w:pPr>
      <w:r w:rsidRPr="00BA5143">
        <w:rPr>
          <w:lang w:val="en-US"/>
        </w:rPr>
        <w:t>established for liquidity risk management;</w:t>
      </w:r>
    </w:p>
    <w:p w:rsidR="0044685E" w:rsidRPr="00BA5143" w:rsidRDefault="0044685E" w:rsidP="00C5020F">
      <w:pPr>
        <w:pStyle w:val="afc"/>
        <w:numPr>
          <w:ilvl w:val="0"/>
          <w:numId w:val="35"/>
        </w:numPr>
        <w:tabs>
          <w:tab w:val="left" w:pos="284"/>
        </w:tabs>
        <w:ind w:left="284" w:firstLine="283"/>
        <w:jc w:val="both"/>
        <w:rPr>
          <w:lang w:val="en-US"/>
        </w:rPr>
      </w:pPr>
      <w:r w:rsidRPr="00BA5143">
        <w:rPr>
          <w:lang w:val="en-US"/>
        </w:rPr>
        <w:t>analysis of the gap between assets and liabilities of the Bank in terms of return of assets and repayment of liabilities sensible to change the interest rate and reduce gaps.</w:t>
      </w:r>
    </w:p>
    <w:p w:rsidR="0044685E" w:rsidRPr="00BA5143" w:rsidRDefault="0044685E" w:rsidP="0044685E">
      <w:pPr>
        <w:ind w:firstLine="425"/>
        <w:jc w:val="both"/>
        <w:rPr>
          <w:lang w:val="en-US"/>
        </w:rPr>
      </w:pPr>
      <w:r w:rsidRPr="00BA5143">
        <w:rPr>
          <w:lang w:val="en-US"/>
        </w:rPr>
        <w:t>In addition, for the rapid response to changing market conditions, the Bank calculates the following indicators, which are set the following internal standards:</w:t>
      </w:r>
    </w:p>
    <w:p w:rsidR="0044685E" w:rsidRPr="00BA5143" w:rsidRDefault="0044685E" w:rsidP="00C5020F">
      <w:pPr>
        <w:pStyle w:val="afc"/>
        <w:numPr>
          <w:ilvl w:val="0"/>
          <w:numId w:val="35"/>
        </w:numPr>
        <w:jc w:val="both"/>
        <w:rPr>
          <w:lang w:val="en-US"/>
        </w:rPr>
      </w:pPr>
      <w:r w:rsidRPr="00BA5143">
        <w:rPr>
          <w:lang w:val="en-US"/>
        </w:rPr>
        <w:t>the yield of interest-bearing assets per month (given to the annual) is not less than 15%;</w:t>
      </w:r>
    </w:p>
    <w:p w:rsidR="0044685E" w:rsidRPr="00BA5143" w:rsidRDefault="0044685E" w:rsidP="00C5020F">
      <w:pPr>
        <w:pStyle w:val="afc"/>
        <w:numPr>
          <w:ilvl w:val="0"/>
          <w:numId w:val="35"/>
        </w:numPr>
        <w:jc w:val="both"/>
        <w:rPr>
          <w:lang w:val="en-US"/>
        </w:rPr>
      </w:pPr>
      <w:r w:rsidRPr="00BA5143">
        <w:rPr>
          <w:lang w:val="en-US"/>
        </w:rPr>
        <w:t>the value of interest-bearing liabilities per month (given to the annual) is not more than 14%;</w:t>
      </w:r>
    </w:p>
    <w:p w:rsidR="0044685E" w:rsidRPr="00BA5143" w:rsidRDefault="0044685E" w:rsidP="00C5020F">
      <w:pPr>
        <w:pStyle w:val="afc"/>
        <w:numPr>
          <w:ilvl w:val="0"/>
          <w:numId w:val="35"/>
        </w:numPr>
        <w:jc w:val="both"/>
        <w:rPr>
          <w:lang w:val="en-US"/>
        </w:rPr>
      </w:pPr>
      <w:r w:rsidRPr="00BA5143">
        <w:rPr>
          <w:lang w:val="en-US"/>
        </w:rPr>
        <w:t>net interest spread not less than 3%;</w:t>
      </w:r>
    </w:p>
    <w:p w:rsidR="00725F29" w:rsidRPr="00BA5143" w:rsidRDefault="0044685E" w:rsidP="00C5020F">
      <w:pPr>
        <w:pStyle w:val="afc"/>
        <w:numPr>
          <w:ilvl w:val="0"/>
          <w:numId w:val="35"/>
        </w:numPr>
        <w:jc w:val="both"/>
        <w:rPr>
          <w:lang w:val="en-US"/>
        </w:rPr>
      </w:pPr>
      <w:r w:rsidRPr="00BA5143">
        <w:rPr>
          <w:lang w:val="en-US"/>
        </w:rPr>
        <w:t>net interest margin per month (shown to annual) not less than 5%.</w:t>
      </w:r>
    </w:p>
    <w:p w:rsidR="008B0277" w:rsidRPr="00BA5143" w:rsidRDefault="008B0277" w:rsidP="00725F29">
      <w:pPr>
        <w:pStyle w:val="a4"/>
        <w:spacing w:before="0" w:beforeAutospacing="0" w:after="0" w:afterAutospacing="0"/>
        <w:jc w:val="both"/>
        <w:rPr>
          <w:b/>
          <w:highlight w:val="yellow"/>
          <w:lang w:val="en-US"/>
        </w:rPr>
      </w:pPr>
    </w:p>
    <w:p w:rsidR="00AA3176" w:rsidRPr="00BA5143" w:rsidRDefault="00AA3176" w:rsidP="00AA3176">
      <w:pPr>
        <w:pStyle w:val="a4"/>
        <w:spacing w:before="0" w:beforeAutospacing="0" w:after="0" w:afterAutospacing="0"/>
        <w:rPr>
          <w:b/>
          <w:lang w:val="en-US"/>
        </w:rPr>
      </w:pPr>
      <w:r w:rsidRPr="00BA5143">
        <w:rPr>
          <w:b/>
          <w:lang w:val="en-US"/>
        </w:rPr>
        <w:t xml:space="preserve">Table 25.4. General analysis of interest rate risk </w:t>
      </w:r>
    </w:p>
    <w:p w:rsidR="00AA3176" w:rsidRPr="00BA5143" w:rsidRDefault="00AA3176" w:rsidP="00AA3176">
      <w:pPr>
        <w:spacing w:line="240" w:lineRule="exact"/>
        <w:ind w:firstLine="567"/>
        <w:jc w:val="right"/>
        <w:rPr>
          <w:lang w:val="en-US"/>
        </w:rPr>
      </w:pPr>
      <w:r w:rsidRPr="00BA5143">
        <w:rPr>
          <w:lang w:val="en-US"/>
        </w:rPr>
        <w:t>(ths. UAH.)</w:t>
      </w:r>
    </w:p>
    <w:tbl>
      <w:tblPr>
        <w:tblW w:w="9555" w:type="dxa"/>
        <w:tblInd w:w="93" w:type="dxa"/>
        <w:tblLayout w:type="fixed"/>
        <w:tblLook w:val="04A0"/>
      </w:tblPr>
      <w:tblGrid>
        <w:gridCol w:w="747"/>
        <w:gridCol w:w="3802"/>
        <w:gridCol w:w="1158"/>
        <w:gridCol w:w="992"/>
        <w:gridCol w:w="851"/>
        <w:gridCol w:w="992"/>
        <w:gridCol w:w="1013"/>
      </w:tblGrid>
      <w:tr w:rsidR="00AA3176" w:rsidRPr="00BA5143" w:rsidTr="00AA3176">
        <w:trPr>
          <w:trHeight w:val="765"/>
        </w:trPr>
        <w:tc>
          <w:tcPr>
            <w:tcW w:w="748" w:type="dxa"/>
            <w:tcBorders>
              <w:top w:val="single" w:sz="8" w:space="0" w:color="auto"/>
              <w:left w:val="single" w:sz="8" w:space="0" w:color="auto"/>
              <w:bottom w:val="single" w:sz="4" w:space="0" w:color="auto"/>
              <w:right w:val="single" w:sz="4" w:space="0" w:color="auto"/>
            </w:tcBorders>
            <w:vAlign w:val="bottom"/>
            <w:hideMark/>
          </w:tcPr>
          <w:p w:rsidR="00AA3176" w:rsidRPr="00BA5143" w:rsidRDefault="00AA3176">
            <w:pPr>
              <w:jc w:val="center"/>
              <w:rPr>
                <w:sz w:val="20"/>
                <w:szCs w:val="20"/>
                <w:lang w:val="en-US"/>
              </w:rPr>
            </w:pPr>
            <w:r w:rsidRPr="00BA5143">
              <w:rPr>
                <w:sz w:val="20"/>
                <w:szCs w:val="20"/>
                <w:lang w:val="en-US"/>
              </w:rPr>
              <w:t>Line </w:t>
            </w:r>
          </w:p>
        </w:tc>
        <w:tc>
          <w:tcPr>
            <w:tcW w:w="3803" w:type="dxa"/>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Item</w:t>
            </w:r>
          </w:p>
        </w:tc>
        <w:tc>
          <w:tcPr>
            <w:tcW w:w="1158" w:type="dxa"/>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On demand and less than 1 month.</w:t>
            </w:r>
          </w:p>
        </w:tc>
        <w:tc>
          <w:tcPr>
            <w:tcW w:w="992" w:type="dxa"/>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From 1 to 6 months.</w:t>
            </w:r>
          </w:p>
        </w:tc>
        <w:tc>
          <w:tcPr>
            <w:tcW w:w="851" w:type="dxa"/>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From 6 to 12 months</w:t>
            </w:r>
          </w:p>
        </w:tc>
        <w:tc>
          <w:tcPr>
            <w:tcW w:w="992" w:type="dxa"/>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More than a year</w:t>
            </w:r>
          </w:p>
        </w:tc>
        <w:tc>
          <w:tcPr>
            <w:tcW w:w="1013" w:type="dxa"/>
            <w:tcBorders>
              <w:top w:val="single" w:sz="8" w:space="0" w:color="auto"/>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Total</w:t>
            </w:r>
          </w:p>
        </w:tc>
      </w:tr>
      <w:tr w:rsidR="00AA3176" w:rsidRPr="00BA5143" w:rsidTr="00AA3176">
        <w:trPr>
          <w:trHeight w:val="115"/>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1</w:t>
            </w:r>
          </w:p>
        </w:tc>
        <w:tc>
          <w:tcPr>
            <w:tcW w:w="3803"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2 </w:t>
            </w:r>
          </w:p>
        </w:tc>
        <w:tc>
          <w:tcPr>
            <w:tcW w:w="1158"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3 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4 </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5 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6 </w:t>
            </w:r>
          </w:p>
        </w:tc>
        <w:tc>
          <w:tcPr>
            <w:tcW w:w="1013" w:type="dxa"/>
            <w:tcBorders>
              <w:top w:val="nil"/>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8 </w:t>
            </w:r>
          </w:p>
        </w:tc>
      </w:tr>
      <w:tr w:rsidR="00AA3176" w:rsidRPr="00BA5143" w:rsidTr="00AA3176">
        <w:trPr>
          <w:trHeight w:val="255"/>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3803"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xml:space="preserve">2018 </w:t>
            </w:r>
          </w:p>
        </w:tc>
        <w:tc>
          <w:tcPr>
            <w:tcW w:w="1158"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1013" w:type="dxa"/>
            <w:tcBorders>
              <w:top w:val="nil"/>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r>
      <w:tr w:rsidR="00AA3176" w:rsidRPr="00BA5143" w:rsidTr="00AA3176">
        <w:trPr>
          <w:trHeight w:val="68"/>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1 </w:t>
            </w:r>
          </w:p>
        </w:tc>
        <w:tc>
          <w:tcPr>
            <w:tcW w:w="3803"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Total financial assets</w:t>
            </w:r>
          </w:p>
        </w:tc>
        <w:tc>
          <w:tcPr>
            <w:tcW w:w="1158" w:type="dxa"/>
            <w:tcBorders>
              <w:top w:val="single" w:sz="4" w:space="0" w:color="auto"/>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95 587</w:t>
            </w:r>
          </w:p>
        </w:tc>
        <w:tc>
          <w:tcPr>
            <w:tcW w:w="992"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73 456</w:t>
            </w:r>
          </w:p>
        </w:tc>
        <w:tc>
          <w:tcPr>
            <w:tcW w:w="851"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1013"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169 043</w:t>
            </w:r>
          </w:p>
        </w:tc>
      </w:tr>
      <w:tr w:rsidR="00AA3176" w:rsidRPr="00BA5143" w:rsidTr="00AA3176">
        <w:trPr>
          <w:trHeight w:val="68"/>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2 </w:t>
            </w:r>
          </w:p>
        </w:tc>
        <w:tc>
          <w:tcPr>
            <w:tcW w:w="3803"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Total financial liabilities</w:t>
            </w:r>
          </w:p>
        </w:tc>
        <w:tc>
          <w:tcPr>
            <w:tcW w:w="1158" w:type="dxa"/>
            <w:tcBorders>
              <w:top w:val="nil"/>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163</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20</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33 207</w:t>
            </w:r>
          </w:p>
        </w:tc>
        <w:tc>
          <w:tcPr>
            <w:tcW w:w="1013"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33 390</w:t>
            </w:r>
          </w:p>
        </w:tc>
      </w:tr>
      <w:tr w:rsidR="00AA3176" w:rsidRPr="00BA5143" w:rsidTr="00AA3176">
        <w:trPr>
          <w:trHeight w:val="68"/>
        </w:trPr>
        <w:tc>
          <w:tcPr>
            <w:tcW w:w="748" w:type="dxa"/>
            <w:tcBorders>
              <w:top w:val="single" w:sz="4" w:space="0" w:color="auto"/>
              <w:left w:val="single" w:sz="4"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3 </w:t>
            </w:r>
          </w:p>
        </w:tc>
        <w:tc>
          <w:tcPr>
            <w:tcW w:w="3803" w:type="dxa"/>
            <w:tcBorders>
              <w:top w:val="single" w:sz="4" w:space="0" w:color="auto"/>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Net interest rate break at the end of December 31, 2018</w:t>
            </w:r>
          </w:p>
        </w:tc>
        <w:tc>
          <w:tcPr>
            <w:tcW w:w="1158" w:type="dxa"/>
            <w:tcBorders>
              <w:top w:val="single" w:sz="4" w:space="0" w:color="auto"/>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95 424</w:t>
            </w:r>
          </w:p>
        </w:tc>
        <w:tc>
          <w:tcPr>
            <w:tcW w:w="992"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73 436</w:t>
            </w:r>
          </w:p>
        </w:tc>
        <w:tc>
          <w:tcPr>
            <w:tcW w:w="851"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(33 207)</w:t>
            </w:r>
          </w:p>
        </w:tc>
        <w:tc>
          <w:tcPr>
            <w:tcW w:w="1013" w:type="dxa"/>
            <w:tcBorders>
              <w:top w:val="single" w:sz="4" w:space="0" w:color="auto"/>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135 653</w:t>
            </w:r>
          </w:p>
        </w:tc>
      </w:tr>
      <w:tr w:rsidR="00AA3176" w:rsidRPr="00BA5143" w:rsidTr="00AA3176">
        <w:trPr>
          <w:trHeight w:val="68"/>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3803"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2017 year</w:t>
            </w:r>
          </w:p>
        </w:tc>
        <w:tc>
          <w:tcPr>
            <w:tcW w:w="1158" w:type="dxa"/>
            <w:tcBorders>
              <w:top w:val="nil"/>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c>
          <w:tcPr>
            <w:tcW w:w="1013"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r>
      <w:tr w:rsidR="00AA3176" w:rsidRPr="00BA5143" w:rsidTr="00AA3176">
        <w:trPr>
          <w:trHeight w:val="68"/>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4 </w:t>
            </w:r>
          </w:p>
        </w:tc>
        <w:tc>
          <w:tcPr>
            <w:tcW w:w="3803"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Total financial assets</w:t>
            </w:r>
          </w:p>
        </w:tc>
        <w:tc>
          <w:tcPr>
            <w:tcW w:w="1158" w:type="dxa"/>
            <w:tcBorders>
              <w:top w:val="nil"/>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142 668</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7 052</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1013"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149 720</w:t>
            </w:r>
          </w:p>
        </w:tc>
      </w:tr>
      <w:tr w:rsidR="00AA3176" w:rsidRPr="00BA5143" w:rsidTr="00AA3176">
        <w:trPr>
          <w:trHeight w:val="68"/>
        </w:trPr>
        <w:tc>
          <w:tcPr>
            <w:tcW w:w="748"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5 </w:t>
            </w:r>
          </w:p>
        </w:tc>
        <w:tc>
          <w:tcPr>
            <w:tcW w:w="3803"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Total financial liabilities</w:t>
            </w:r>
          </w:p>
        </w:tc>
        <w:tc>
          <w:tcPr>
            <w:tcW w:w="1158" w:type="dxa"/>
            <w:tcBorders>
              <w:top w:val="nil"/>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163</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23 133</w:t>
            </w:r>
          </w:p>
        </w:tc>
        <w:tc>
          <w:tcPr>
            <w:tcW w:w="1013"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23 296</w:t>
            </w:r>
          </w:p>
        </w:tc>
      </w:tr>
      <w:tr w:rsidR="00AA3176" w:rsidRPr="00BA5143" w:rsidTr="00AA3176">
        <w:trPr>
          <w:trHeight w:val="68"/>
        </w:trPr>
        <w:tc>
          <w:tcPr>
            <w:tcW w:w="748" w:type="dxa"/>
            <w:tcBorders>
              <w:top w:val="nil"/>
              <w:left w:val="single" w:sz="8" w:space="0" w:color="auto"/>
              <w:bottom w:val="single" w:sz="8"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6 </w:t>
            </w:r>
          </w:p>
        </w:tc>
        <w:tc>
          <w:tcPr>
            <w:tcW w:w="3803" w:type="dxa"/>
            <w:tcBorders>
              <w:top w:val="nil"/>
              <w:left w:val="nil"/>
              <w:bottom w:val="single" w:sz="8" w:space="0" w:color="auto"/>
              <w:right w:val="single" w:sz="4" w:space="0" w:color="auto"/>
            </w:tcBorders>
            <w:hideMark/>
          </w:tcPr>
          <w:p w:rsidR="00AA3176" w:rsidRPr="00BA5143" w:rsidRDefault="00AA3176">
            <w:pPr>
              <w:rPr>
                <w:sz w:val="20"/>
                <w:szCs w:val="20"/>
                <w:lang w:val="en-US"/>
              </w:rPr>
            </w:pPr>
            <w:r w:rsidRPr="00BA5143">
              <w:rPr>
                <w:sz w:val="20"/>
                <w:szCs w:val="20"/>
                <w:lang w:val="en-US"/>
              </w:rPr>
              <w:t>Net interest rate break at the end of December 31, 2017</w:t>
            </w:r>
          </w:p>
        </w:tc>
        <w:tc>
          <w:tcPr>
            <w:tcW w:w="1158" w:type="dxa"/>
            <w:tcBorders>
              <w:top w:val="nil"/>
              <w:left w:val="single" w:sz="4" w:space="0" w:color="auto"/>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142 505</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7 052</w:t>
            </w:r>
          </w:p>
        </w:tc>
        <w:tc>
          <w:tcPr>
            <w:tcW w:w="851"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92"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(23 133)</w:t>
            </w:r>
          </w:p>
        </w:tc>
        <w:tc>
          <w:tcPr>
            <w:tcW w:w="1013" w:type="dxa"/>
            <w:tcBorders>
              <w:top w:val="nil"/>
              <w:left w:val="nil"/>
              <w:bottom w:val="single" w:sz="4" w:space="0" w:color="auto"/>
              <w:right w:val="single" w:sz="4" w:space="0" w:color="auto"/>
            </w:tcBorders>
            <w:vAlign w:val="center"/>
            <w:hideMark/>
          </w:tcPr>
          <w:p w:rsidR="00AA3176" w:rsidRPr="00BA5143" w:rsidRDefault="00AA3176">
            <w:pPr>
              <w:jc w:val="right"/>
              <w:rPr>
                <w:sz w:val="20"/>
                <w:szCs w:val="20"/>
                <w:lang w:val="en-US"/>
              </w:rPr>
            </w:pPr>
            <w:r w:rsidRPr="00BA5143">
              <w:rPr>
                <w:sz w:val="20"/>
                <w:szCs w:val="20"/>
                <w:lang w:val="en-US"/>
              </w:rPr>
              <w:t>126 424</w:t>
            </w:r>
          </w:p>
        </w:tc>
      </w:tr>
    </w:tbl>
    <w:p w:rsidR="00725F29" w:rsidRPr="00BA5143" w:rsidRDefault="00C5020F" w:rsidP="008D32D8">
      <w:pPr>
        <w:jc w:val="both"/>
        <w:rPr>
          <w:sz w:val="20"/>
          <w:szCs w:val="20"/>
          <w:lang w:val="en-US"/>
        </w:rPr>
      </w:pPr>
      <w:r w:rsidRPr="00BA5143">
        <w:rPr>
          <w:lang w:val="en-US"/>
        </w:rPr>
        <w:t xml:space="preserve">As at 31.12.2018, the Bank had positive gaps between the interest rates and interest obligations for all periods of asset recovery and repayment of liabilities (except for the "Over the year" period, where the subordinated debt is located). In periods with positive discrepancies, a </w:t>
      </w:r>
      <w:r w:rsidRPr="00BA5143">
        <w:rPr>
          <w:lang w:val="en-US"/>
        </w:rPr>
        <w:lastRenderedPageBreak/>
        <w:t>decrease in net interest margin can occur if interest rates on active and passive transactions are reduced. In this case, only a reduction in net interest income can occur, not for one period of return / repayment of assets / liabilities, the Bank is not exposed to a loss on net interest income, therefore the level of interest rate is classified as acceptable.</w:t>
      </w:r>
    </w:p>
    <w:p w:rsidR="003B0FB0" w:rsidRPr="00BA5143" w:rsidRDefault="003B0FB0" w:rsidP="00725F29">
      <w:pPr>
        <w:pStyle w:val="a4"/>
        <w:spacing w:before="0" w:beforeAutospacing="0" w:after="0" w:afterAutospacing="0"/>
        <w:jc w:val="both"/>
        <w:rPr>
          <w:b/>
          <w:lang w:val="en-US"/>
        </w:rPr>
      </w:pPr>
    </w:p>
    <w:p w:rsidR="00725F29" w:rsidRPr="00BA5143" w:rsidRDefault="00AA3176" w:rsidP="00725F29">
      <w:pPr>
        <w:rPr>
          <w:b/>
          <w:lang w:val="en-US"/>
        </w:rPr>
      </w:pPr>
      <w:r w:rsidRPr="00BA5143">
        <w:rPr>
          <w:b/>
          <w:lang w:val="en-US"/>
        </w:rPr>
        <w:t>Table 25.5. Monitoring of interest rates on financial instruments</w:t>
      </w:r>
    </w:p>
    <w:p w:rsidR="00AA3176" w:rsidRPr="00BA5143" w:rsidRDefault="00AA3176" w:rsidP="00725F29">
      <w:pPr>
        <w:rPr>
          <w:b/>
          <w:lang w:val="en-US"/>
        </w:rPr>
      </w:pPr>
    </w:p>
    <w:tbl>
      <w:tblPr>
        <w:tblW w:w="9555" w:type="dxa"/>
        <w:tblInd w:w="93" w:type="dxa"/>
        <w:tblLook w:val="04A0"/>
      </w:tblPr>
      <w:tblGrid>
        <w:gridCol w:w="769"/>
        <w:gridCol w:w="2306"/>
        <w:gridCol w:w="900"/>
        <w:gridCol w:w="900"/>
        <w:gridCol w:w="720"/>
        <w:gridCol w:w="720"/>
        <w:gridCol w:w="900"/>
        <w:gridCol w:w="900"/>
        <w:gridCol w:w="733"/>
        <w:gridCol w:w="707"/>
      </w:tblGrid>
      <w:tr w:rsidR="00AA3176" w:rsidRPr="00BA5143" w:rsidTr="00AA3176">
        <w:trPr>
          <w:trHeight w:val="255"/>
        </w:trPr>
        <w:tc>
          <w:tcPr>
            <w:tcW w:w="769" w:type="dxa"/>
            <w:vMerge w:val="restart"/>
            <w:tcBorders>
              <w:top w:val="single" w:sz="8" w:space="0" w:color="auto"/>
              <w:left w:val="single" w:sz="8" w:space="0" w:color="auto"/>
              <w:bottom w:val="single" w:sz="4" w:space="0" w:color="000000"/>
              <w:right w:val="single" w:sz="4" w:space="0" w:color="auto"/>
            </w:tcBorders>
            <w:vAlign w:val="bottom"/>
            <w:hideMark/>
          </w:tcPr>
          <w:p w:rsidR="00AA3176" w:rsidRPr="00BA5143" w:rsidRDefault="00AA3176">
            <w:pPr>
              <w:jc w:val="center"/>
              <w:rPr>
                <w:sz w:val="20"/>
                <w:szCs w:val="20"/>
                <w:lang w:val="en-US"/>
              </w:rPr>
            </w:pPr>
            <w:r w:rsidRPr="00BA5143">
              <w:rPr>
                <w:sz w:val="20"/>
                <w:szCs w:val="20"/>
                <w:lang w:val="en-US"/>
              </w:rPr>
              <w:t>Line </w:t>
            </w:r>
          </w:p>
        </w:tc>
        <w:tc>
          <w:tcPr>
            <w:tcW w:w="2306" w:type="dxa"/>
            <w:vMerge w:val="restart"/>
            <w:tcBorders>
              <w:top w:val="single" w:sz="8" w:space="0" w:color="auto"/>
              <w:left w:val="single" w:sz="4" w:space="0" w:color="auto"/>
              <w:bottom w:val="single" w:sz="4" w:space="0" w:color="auto"/>
              <w:right w:val="single" w:sz="4" w:space="0" w:color="auto"/>
            </w:tcBorders>
            <w:vAlign w:val="center"/>
            <w:hideMark/>
          </w:tcPr>
          <w:p w:rsidR="00AA3176" w:rsidRPr="00BA5143" w:rsidRDefault="008D32D8" w:rsidP="008D32D8">
            <w:pPr>
              <w:jc w:val="center"/>
              <w:rPr>
                <w:sz w:val="20"/>
                <w:szCs w:val="20"/>
                <w:lang w:val="en-US"/>
              </w:rPr>
            </w:pPr>
            <w:r w:rsidRPr="00BA5143">
              <w:rPr>
                <w:sz w:val="20"/>
                <w:szCs w:val="20"/>
                <w:lang w:val="en-US"/>
              </w:rPr>
              <w:t>Item</w:t>
            </w:r>
          </w:p>
        </w:tc>
        <w:tc>
          <w:tcPr>
            <w:tcW w:w="3240" w:type="dxa"/>
            <w:gridSpan w:val="4"/>
            <w:tcBorders>
              <w:top w:val="single" w:sz="8" w:space="0" w:color="auto"/>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2018</w:t>
            </w:r>
          </w:p>
        </w:tc>
        <w:tc>
          <w:tcPr>
            <w:tcW w:w="3240" w:type="dxa"/>
            <w:gridSpan w:val="4"/>
            <w:tcBorders>
              <w:top w:val="single" w:sz="8" w:space="0" w:color="auto"/>
              <w:left w:val="nil"/>
              <w:bottom w:val="single" w:sz="4" w:space="0" w:color="auto"/>
              <w:right w:val="single" w:sz="8" w:space="0" w:color="000000"/>
            </w:tcBorders>
            <w:vAlign w:val="center"/>
            <w:hideMark/>
          </w:tcPr>
          <w:p w:rsidR="00AA3176" w:rsidRPr="00BA5143" w:rsidRDefault="00AA3176">
            <w:pPr>
              <w:jc w:val="center"/>
              <w:rPr>
                <w:sz w:val="20"/>
                <w:szCs w:val="20"/>
                <w:lang w:val="en-US"/>
              </w:rPr>
            </w:pPr>
            <w:r w:rsidRPr="00BA5143">
              <w:rPr>
                <w:sz w:val="20"/>
                <w:szCs w:val="20"/>
                <w:lang w:val="en-US"/>
              </w:rPr>
              <w:t>2017</w:t>
            </w:r>
          </w:p>
        </w:tc>
      </w:tr>
      <w:tr w:rsidR="00AA3176" w:rsidRPr="00BA5143" w:rsidTr="00AA3176">
        <w:trPr>
          <w:trHeight w:val="510"/>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AA3176" w:rsidRPr="00BA5143" w:rsidRDefault="00AA3176">
            <w:pPr>
              <w:rPr>
                <w:sz w:val="20"/>
                <w:szCs w:val="20"/>
                <w:lang w:val="en-U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AA3176" w:rsidRPr="00BA5143" w:rsidRDefault="00AA3176">
            <w:pPr>
              <w:rPr>
                <w:sz w:val="20"/>
                <w:szCs w:val="20"/>
                <w:lang w:val="en-US"/>
              </w:rPr>
            </w:pP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hryvnia</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dollars US</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euro</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other</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hryvnia</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dollars US</w:t>
            </w:r>
          </w:p>
        </w:tc>
        <w:tc>
          <w:tcPr>
            <w:tcW w:w="733"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euro</w:t>
            </w:r>
          </w:p>
        </w:tc>
        <w:tc>
          <w:tcPr>
            <w:tcW w:w="707" w:type="dxa"/>
            <w:tcBorders>
              <w:top w:val="nil"/>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other</w:t>
            </w:r>
          </w:p>
        </w:tc>
      </w:tr>
      <w:tr w:rsidR="00AA3176" w:rsidRPr="00BA5143" w:rsidTr="00AA3176">
        <w:trPr>
          <w:trHeight w:val="255"/>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1 </w:t>
            </w:r>
          </w:p>
        </w:tc>
        <w:tc>
          <w:tcPr>
            <w:tcW w:w="2306"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2 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3 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4 </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5 </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6 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7 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8 </w:t>
            </w:r>
          </w:p>
        </w:tc>
        <w:tc>
          <w:tcPr>
            <w:tcW w:w="733"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9 </w:t>
            </w:r>
          </w:p>
        </w:tc>
        <w:tc>
          <w:tcPr>
            <w:tcW w:w="707" w:type="dxa"/>
            <w:tcBorders>
              <w:top w:val="nil"/>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10 </w:t>
            </w:r>
          </w:p>
        </w:tc>
      </w:tr>
      <w:tr w:rsidR="00AA3176" w:rsidRPr="00BA5143" w:rsidTr="00AA3176">
        <w:trPr>
          <w:trHeight w:val="255"/>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2306"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Assets</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2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33" w:type="dxa"/>
            <w:tcBorders>
              <w:top w:val="nil"/>
              <w:left w:val="nil"/>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07" w:type="dxa"/>
            <w:tcBorders>
              <w:top w:val="nil"/>
              <w:left w:val="nil"/>
              <w:bottom w:val="single" w:sz="4"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r>
      <w:tr w:rsidR="00AA3176" w:rsidRPr="00BA5143" w:rsidTr="00AA3176">
        <w:trPr>
          <w:trHeight w:val="68"/>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1 </w:t>
            </w:r>
          </w:p>
        </w:tc>
        <w:tc>
          <w:tcPr>
            <w:tcW w:w="2306"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Money in other banks</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0,00%</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0,00%</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0,05%</w:t>
            </w:r>
          </w:p>
        </w:tc>
        <w:tc>
          <w:tcPr>
            <w:tcW w:w="733"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07"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r>
      <w:tr w:rsidR="00AA3176" w:rsidRPr="00BA5143" w:rsidTr="00AA3176">
        <w:trPr>
          <w:trHeight w:val="68"/>
        </w:trPr>
        <w:tc>
          <w:tcPr>
            <w:tcW w:w="769" w:type="dxa"/>
            <w:tcBorders>
              <w:top w:val="single" w:sz="4" w:space="0" w:color="auto"/>
              <w:left w:val="single" w:sz="4" w:space="0" w:color="auto"/>
              <w:bottom w:val="single" w:sz="4" w:space="0" w:color="auto"/>
              <w:right w:val="single" w:sz="4" w:space="0" w:color="auto"/>
            </w:tcBorders>
            <w:vAlign w:val="center"/>
          </w:tcPr>
          <w:p w:rsidR="00AA3176" w:rsidRPr="00BA5143" w:rsidRDefault="00AA3176">
            <w:pPr>
              <w:jc w:val="center"/>
              <w:rPr>
                <w:sz w:val="20"/>
                <w:szCs w:val="20"/>
                <w:lang w:val="en-US"/>
              </w:rPr>
            </w:pPr>
          </w:p>
        </w:tc>
        <w:tc>
          <w:tcPr>
            <w:tcW w:w="2306" w:type="dxa"/>
            <w:tcBorders>
              <w:top w:val="single" w:sz="4" w:space="0" w:color="auto"/>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Debt securities, which are accounted for at amortized cost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16,93%</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14,69%</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33"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07"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r>
      <w:tr w:rsidR="00AA3176" w:rsidRPr="00BA5143" w:rsidTr="00AA3176">
        <w:trPr>
          <w:trHeight w:val="68"/>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2306"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Obligation</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900" w:type="dxa"/>
            <w:tcBorders>
              <w:top w:val="nil"/>
              <w:left w:val="nil"/>
              <w:bottom w:val="single" w:sz="8" w:space="0" w:color="auto"/>
              <w:right w:val="single" w:sz="8" w:space="0" w:color="auto"/>
            </w:tcBorders>
            <w:vAlign w:val="center"/>
          </w:tcPr>
          <w:p w:rsidR="00AA3176" w:rsidRPr="00BA5143" w:rsidRDefault="00AA3176">
            <w:pPr>
              <w:jc w:val="right"/>
              <w:rPr>
                <w:sz w:val="20"/>
                <w:szCs w:val="20"/>
                <w:lang w:val="en-US"/>
              </w:rPr>
            </w:pPr>
          </w:p>
        </w:tc>
        <w:tc>
          <w:tcPr>
            <w:tcW w:w="733"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c>
          <w:tcPr>
            <w:tcW w:w="707" w:type="dxa"/>
            <w:tcBorders>
              <w:top w:val="nil"/>
              <w:left w:val="nil"/>
              <w:bottom w:val="single" w:sz="8" w:space="0" w:color="auto"/>
              <w:right w:val="single" w:sz="8" w:space="0" w:color="auto"/>
            </w:tcBorders>
            <w:vAlign w:val="center"/>
            <w:hideMark/>
          </w:tcPr>
          <w:p w:rsidR="00AA3176" w:rsidRPr="00BA5143" w:rsidRDefault="00AA3176">
            <w:pPr>
              <w:jc w:val="center"/>
              <w:rPr>
                <w:sz w:val="20"/>
                <w:szCs w:val="20"/>
                <w:lang w:val="en-US"/>
              </w:rPr>
            </w:pPr>
            <w:r w:rsidRPr="00BA5143">
              <w:rPr>
                <w:sz w:val="20"/>
                <w:szCs w:val="20"/>
                <w:lang w:val="en-US"/>
              </w:rPr>
              <w:t> </w:t>
            </w:r>
          </w:p>
        </w:tc>
      </w:tr>
      <w:tr w:rsidR="00AA3176" w:rsidRPr="00BA5143" w:rsidTr="00AA3176">
        <w:trPr>
          <w:trHeight w:val="68"/>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4</w:t>
            </w:r>
          </w:p>
        </w:tc>
        <w:tc>
          <w:tcPr>
            <w:tcW w:w="2306" w:type="dxa"/>
            <w:tcBorders>
              <w:top w:val="nil"/>
              <w:left w:val="nil"/>
              <w:bottom w:val="single" w:sz="8" w:space="0" w:color="auto"/>
              <w:right w:val="single" w:sz="8" w:space="0" w:color="auto"/>
            </w:tcBorders>
            <w:hideMark/>
          </w:tcPr>
          <w:p w:rsidR="00AA3176" w:rsidRPr="00BA5143" w:rsidRDefault="00AA3176">
            <w:pPr>
              <w:rPr>
                <w:sz w:val="20"/>
                <w:szCs w:val="20"/>
                <w:lang w:val="en-US"/>
              </w:rPr>
            </w:pPr>
            <w:r w:rsidRPr="00BA5143">
              <w:rPr>
                <w:sz w:val="20"/>
                <w:szCs w:val="20"/>
                <w:lang w:val="en-US"/>
              </w:rPr>
              <w:t>Term clients' funds</w:t>
            </w:r>
          </w:p>
        </w:tc>
        <w:tc>
          <w:tcPr>
            <w:tcW w:w="90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5,11%</w:t>
            </w:r>
          </w:p>
        </w:tc>
        <w:tc>
          <w:tcPr>
            <w:tcW w:w="90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90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 -</w:t>
            </w:r>
          </w:p>
        </w:tc>
        <w:tc>
          <w:tcPr>
            <w:tcW w:w="733"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707"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r>
      <w:tr w:rsidR="00AA3176" w:rsidRPr="00BA5143" w:rsidTr="00AA3176">
        <w:trPr>
          <w:trHeight w:val="68"/>
        </w:trPr>
        <w:tc>
          <w:tcPr>
            <w:tcW w:w="769" w:type="dxa"/>
            <w:tcBorders>
              <w:top w:val="nil"/>
              <w:left w:val="single" w:sz="8" w:space="0" w:color="auto"/>
              <w:bottom w:val="single" w:sz="4" w:space="0" w:color="auto"/>
              <w:right w:val="single" w:sz="4" w:space="0" w:color="auto"/>
            </w:tcBorders>
            <w:vAlign w:val="center"/>
            <w:hideMark/>
          </w:tcPr>
          <w:p w:rsidR="00AA3176" w:rsidRPr="00BA5143" w:rsidRDefault="00AA3176">
            <w:pPr>
              <w:jc w:val="center"/>
              <w:rPr>
                <w:sz w:val="20"/>
                <w:szCs w:val="20"/>
                <w:lang w:val="en-US"/>
              </w:rPr>
            </w:pPr>
            <w:r w:rsidRPr="00BA5143">
              <w:rPr>
                <w:sz w:val="20"/>
                <w:szCs w:val="20"/>
                <w:lang w:val="en-US"/>
              </w:rPr>
              <w:t>5</w:t>
            </w:r>
          </w:p>
        </w:tc>
        <w:tc>
          <w:tcPr>
            <w:tcW w:w="2306" w:type="dxa"/>
            <w:tcBorders>
              <w:top w:val="nil"/>
              <w:left w:val="nil"/>
              <w:bottom w:val="single" w:sz="4" w:space="0" w:color="auto"/>
              <w:right w:val="single" w:sz="4" w:space="0" w:color="auto"/>
            </w:tcBorders>
            <w:hideMark/>
          </w:tcPr>
          <w:p w:rsidR="00AA3176" w:rsidRPr="00BA5143" w:rsidRDefault="00AA3176">
            <w:pPr>
              <w:rPr>
                <w:sz w:val="20"/>
                <w:szCs w:val="20"/>
                <w:lang w:val="en-US"/>
              </w:rPr>
            </w:pPr>
            <w:r w:rsidRPr="00BA5143">
              <w:rPr>
                <w:sz w:val="20"/>
                <w:szCs w:val="20"/>
                <w:lang w:val="en-US"/>
              </w:rPr>
              <w:t>Subordinated debt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11,35%</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2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900"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9,72%</w:t>
            </w:r>
          </w:p>
        </w:tc>
        <w:tc>
          <w:tcPr>
            <w:tcW w:w="900" w:type="dxa"/>
            <w:tcBorders>
              <w:top w:val="nil"/>
              <w:left w:val="nil"/>
              <w:bottom w:val="single" w:sz="8" w:space="0" w:color="auto"/>
              <w:right w:val="single" w:sz="8" w:space="0" w:color="auto"/>
            </w:tcBorders>
            <w:vAlign w:val="bottom"/>
            <w:hideMark/>
          </w:tcPr>
          <w:p w:rsidR="00AA3176" w:rsidRPr="00BA5143" w:rsidRDefault="00AA3176">
            <w:pPr>
              <w:jc w:val="right"/>
              <w:rPr>
                <w:sz w:val="20"/>
                <w:szCs w:val="20"/>
                <w:lang w:val="en-US"/>
              </w:rPr>
            </w:pPr>
            <w:r w:rsidRPr="00BA5143">
              <w:rPr>
                <w:sz w:val="20"/>
                <w:szCs w:val="20"/>
                <w:lang w:val="en-US"/>
              </w:rPr>
              <w:t>-</w:t>
            </w:r>
          </w:p>
        </w:tc>
        <w:tc>
          <w:tcPr>
            <w:tcW w:w="733"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c>
          <w:tcPr>
            <w:tcW w:w="707" w:type="dxa"/>
            <w:tcBorders>
              <w:top w:val="nil"/>
              <w:left w:val="nil"/>
              <w:bottom w:val="single" w:sz="8" w:space="0" w:color="auto"/>
              <w:right w:val="single" w:sz="8" w:space="0" w:color="auto"/>
            </w:tcBorders>
            <w:vAlign w:val="center"/>
            <w:hideMark/>
          </w:tcPr>
          <w:p w:rsidR="00AA3176" w:rsidRPr="00BA5143" w:rsidRDefault="00AA3176">
            <w:pPr>
              <w:jc w:val="right"/>
              <w:rPr>
                <w:sz w:val="20"/>
                <w:szCs w:val="20"/>
                <w:lang w:val="en-US"/>
              </w:rPr>
            </w:pPr>
            <w:r w:rsidRPr="00BA5143">
              <w:rPr>
                <w:sz w:val="20"/>
                <w:szCs w:val="20"/>
                <w:lang w:val="en-US"/>
              </w:rPr>
              <w:t>-</w:t>
            </w:r>
          </w:p>
        </w:tc>
      </w:tr>
    </w:tbl>
    <w:p w:rsidR="00AA3176" w:rsidRPr="00BA5143" w:rsidRDefault="00AA3176" w:rsidP="00725F29">
      <w:pPr>
        <w:rPr>
          <w:b/>
          <w:lang w:val="en-US"/>
        </w:rPr>
      </w:pPr>
    </w:p>
    <w:p w:rsidR="00AA3176" w:rsidRPr="00BA5143" w:rsidRDefault="00AA3176" w:rsidP="00725F29">
      <w:pPr>
        <w:rPr>
          <w:color w:val="000000"/>
          <w:lang w:val="en-US"/>
        </w:rPr>
      </w:pPr>
    </w:p>
    <w:p w:rsidR="00FB7548" w:rsidRPr="00BA5143" w:rsidRDefault="00C5020F" w:rsidP="00782220">
      <w:pPr>
        <w:ind w:firstLine="567"/>
        <w:jc w:val="both"/>
        <w:rPr>
          <w:color w:val="000000"/>
          <w:lang w:val="en-US"/>
        </w:rPr>
      </w:pPr>
      <w:r w:rsidRPr="00BA5143">
        <w:rPr>
          <w:color w:val="000000"/>
          <w:lang w:val="en-US"/>
        </w:rPr>
        <w:t>Table 25.5 shows the weighted average fixed interest rates based on the daily and monthly reporting submitted to the Board of the Bank.</w:t>
      </w:r>
    </w:p>
    <w:p w:rsidR="00C5020F" w:rsidRPr="00BA5143" w:rsidRDefault="00C5020F" w:rsidP="00782220">
      <w:pPr>
        <w:ind w:firstLine="567"/>
        <w:jc w:val="both"/>
        <w:rPr>
          <w:sz w:val="20"/>
          <w:szCs w:val="20"/>
          <w:highlight w:val="yellow"/>
          <w:lang w:val="en-US"/>
        </w:rPr>
      </w:pPr>
    </w:p>
    <w:p w:rsidR="003B0FB0" w:rsidRPr="00BA5143" w:rsidRDefault="00C5020F" w:rsidP="00C435F3">
      <w:pPr>
        <w:ind w:firstLine="567"/>
        <w:jc w:val="both"/>
        <w:rPr>
          <w:b/>
          <w:lang w:val="en-US"/>
        </w:rPr>
      </w:pPr>
      <w:r w:rsidRPr="00BA5143">
        <w:rPr>
          <w:b/>
          <w:lang w:val="en-US"/>
        </w:rPr>
        <w:t>Other price risk</w:t>
      </w:r>
    </w:p>
    <w:p w:rsidR="00C5020F" w:rsidRPr="00BA5143" w:rsidRDefault="00C5020F" w:rsidP="00C435F3">
      <w:pPr>
        <w:ind w:firstLine="567"/>
        <w:jc w:val="both"/>
        <w:rPr>
          <w:lang w:val="en-US"/>
        </w:rPr>
      </w:pPr>
    </w:p>
    <w:p w:rsidR="00C5020F" w:rsidRPr="00BA5143" w:rsidRDefault="00C5020F" w:rsidP="00C5020F">
      <w:pPr>
        <w:tabs>
          <w:tab w:val="left" w:pos="2760"/>
        </w:tabs>
        <w:ind w:firstLine="567"/>
        <w:jc w:val="both"/>
        <w:rPr>
          <w:lang w:val="en-US"/>
        </w:rPr>
      </w:pPr>
      <w:r w:rsidRPr="00BA5143">
        <w:rPr>
          <w:lang w:val="en-US"/>
        </w:rPr>
        <w:t>Other price risk is the risk that a fair value or future cash flows from a financial instrument will fluctuate due to changes in market prices (other than those arising from interest or currency risk) or the risk arising from a financial instrument as a result of changes in prices for instruments of its own of capital.</w:t>
      </w:r>
    </w:p>
    <w:p w:rsidR="00C435F3" w:rsidRPr="00BA5143" w:rsidRDefault="00C5020F" w:rsidP="00C5020F">
      <w:pPr>
        <w:tabs>
          <w:tab w:val="left" w:pos="2760"/>
        </w:tabs>
        <w:ind w:firstLine="567"/>
        <w:jc w:val="both"/>
        <w:rPr>
          <w:lang w:val="en-US"/>
        </w:rPr>
      </w:pPr>
      <w:r w:rsidRPr="00BA5143">
        <w:rPr>
          <w:lang w:val="en-US"/>
        </w:rPr>
        <w:t>As at 31.12.2018, the Bank did not have any financial instruments that would have exposed the Bank to another price risk.</w:t>
      </w:r>
    </w:p>
    <w:p w:rsidR="00C5020F" w:rsidRPr="00BA5143" w:rsidRDefault="00C5020F" w:rsidP="00C5020F">
      <w:pPr>
        <w:tabs>
          <w:tab w:val="left" w:pos="2760"/>
        </w:tabs>
        <w:jc w:val="both"/>
        <w:rPr>
          <w:b/>
          <w:highlight w:val="yellow"/>
          <w:lang w:val="en-US"/>
        </w:rPr>
      </w:pPr>
    </w:p>
    <w:p w:rsidR="00C5020F" w:rsidRPr="00BA5143" w:rsidRDefault="00C5020F" w:rsidP="00C435F3">
      <w:pPr>
        <w:ind w:firstLine="567"/>
        <w:jc w:val="both"/>
        <w:rPr>
          <w:b/>
          <w:lang w:val="en-US"/>
        </w:rPr>
      </w:pPr>
      <w:r w:rsidRPr="00BA5143">
        <w:rPr>
          <w:b/>
          <w:lang w:val="en-US"/>
        </w:rPr>
        <w:t>Geographic risk</w:t>
      </w:r>
    </w:p>
    <w:p w:rsidR="00C5020F" w:rsidRPr="00BA5143" w:rsidRDefault="00C5020F" w:rsidP="00C5020F">
      <w:pPr>
        <w:pStyle w:val="a4"/>
        <w:ind w:firstLine="567"/>
        <w:jc w:val="both"/>
        <w:rPr>
          <w:lang w:val="en-US"/>
        </w:rPr>
      </w:pPr>
      <w:r w:rsidRPr="00BA5143">
        <w:rPr>
          <w:lang w:val="en-US"/>
        </w:rPr>
        <w:t>Geographical risk is measured by types of assets and liabilities by countries in which the counterparties of the bank (Ukraine, OECD and other countries) are registered.</w:t>
      </w:r>
    </w:p>
    <w:p w:rsidR="00C5020F" w:rsidRPr="00BA5143" w:rsidRDefault="00C5020F" w:rsidP="00C5020F">
      <w:pPr>
        <w:pStyle w:val="a4"/>
        <w:ind w:firstLine="567"/>
        <w:jc w:val="both"/>
        <w:rPr>
          <w:lang w:val="en-US"/>
        </w:rPr>
      </w:pPr>
      <w:r w:rsidRPr="00BA5143">
        <w:rPr>
          <w:lang w:val="en-US"/>
        </w:rPr>
        <w:t>The Bank controls the risk of changes in the legislation and regulatory environment and assesses its impact on the bank's operations. This approach reduces potential losses from fluctuations in the investment climate in Ukraine.</w:t>
      </w:r>
    </w:p>
    <w:p w:rsidR="003B0FB0" w:rsidRPr="00BA5143" w:rsidRDefault="00C5020F" w:rsidP="00C5020F">
      <w:pPr>
        <w:pStyle w:val="a4"/>
        <w:spacing w:before="0" w:beforeAutospacing="0" w:after="0" w:afterAutospacing="0"/>
        <w:ind w:firstLine="567"/>
        <w:jc w:val="both"/>
        <w:rPr>
          <w:lang w:val="en-US"/>
        </w:rPr>
      </w:pPr>
      <w:r w:rsidRPr="00BA5143">
        <w:rPr>
          <w:lang w:val="en-US"/>
        </w:rPr>
        <w:t>The geographical concentration of assets and liabilities is presented in the tables below.</w:t>
      </w:r>
    </w:p>
    <w:p w:rsidR="00C5020F" w:rsidRPr="00BA5143" w:rsidRDefault="00C5020F" w:rsidP="00C5020F">
      <w:pPr>
        <w:pStyle w:val="a4"/>
        <w:spacing w:before="0" w:beforeAutospacing="0" w:after="0" w:afterAutospacing="0"/>
        <w:jc w:val="both"/>
        <w:rPr>
          <w:b/>
          <w:color w:val="000000"/>
          <w:lang w:val="en-US"/>
        </w:rPr>
      </w:pPr>
    </w:p>
    <w:p w:rsidR="008D32D8" w:rsidRPr="00BA5143" w:rsidRDefault="008D32D8" w:rsidP="008B0277">
      <w:pPr>
        <w:pStyle w:val="a4"/>
        <w:spacing w:before="0" w:beforeAutospacing="0" w:after="0" w:afterAutospacing="0"/>
        <w:jc w:val="right"/>
        <w:rPr>
          <w:b/>
          <w:color w:val="000000"/>
          <w:lang w:val="en-US"/>
        </w:rPr>
      </w:pPr>
      <w:r w:rsidRPr="00BA5143">
        <w:rPr>
          <w:b/>
          <w:color w:val="000000"/>
          <w:lang w:val="en-US"/>
        </w:rPr>
        <w:t xml:space="preserve">Table 25.6. Analysis of the geographical concentration of financial assets and liabilities for 2018 </w:t>
      </w:r>
    </w:p>
    <w:p w:rsidR="008D32D8" w:rsidRPr="00BA5143" w:rsidRDefault="008D32D8" w:rsidP="008D32D8">
      <w:pPr>
        <w:spacing w:line="240" w:lineRule="exact"/>
        <w:ind w:firstLine="567"/>
        <w:jc w:val="right"/>
        <w:rPr>
          <w:lang w:val="en-US"/>
        </w:rPr>
      </w:pPr>
      <w:r w:rsidRPr="00BA5143">
        <w:rPr>
          <w:lang w:val="en-US"/>
        </w:rPr>
        <w:t>(ths. UAH.)</w:t>
      </w:r>
    </w:p>
    <w:tbl>
      <w:tblPr>
        <w:tblW w:w="93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5575"/>
        <w:gridCol w:w="1417"/>
        <w:gridCol w:w="1383"/>
      </w:tblGrid>
      <w:tr w:rsidR="008D32D8" w:rsidRPr="00BA5143" w:rsidTr="008D32D8">
        <w:trPr>
          <w:trHeight w:val="255"/>
        </w:trPr>
        <w:tc>
          <w:tcPr>
            <w:tcW w:w="961" w:type="dxa"/>
            <w:tcBorders>
              <w:top w:val="single" w:sz="4" w:space="0" w:color="auto"/>
              <w:left w:val="single" w:sz="4"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Line </w:t>
            </w:r>
          </w:p>
        </w:tc>
        <w:tc>
          <w:tcPr>
            <w:tcW w:w="5575"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Item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Ukraine</w:t>
            </w:r>
          </w:p>
        </w:tc>
        <w:tc>
          <w:tcPr>
            <w:tcW w:w="1383"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Total</w:t>
            </w:r>
          </w:p>
        </w:tc>
      </w:tr>
      <w:tr w:rsidR="008D32D8" w:rsidRPr="00BA5143" w:rsidTr="008D32D8">
        <w:trPr>
          <w:trHeight w:val="255"/>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1</w:t>
            </w:r>
          </w:p>
        </w:tc>
        <w:tc>
          <w:tcPr>
            <w:tcW w:w="5575"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3</w:t>
            </w:r>
          </w:p>
        </w:tc>
        <w:tc>
          <w:tcPr>
            <w:tcW w:w="1383"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4</w:t>
            </w:r>
          </w:p>
        </w:tc>
      </w:tr>
      <w:tr w:rsidR="008D32D8" w:rsidRPr="00BA5143" w:rsidTr="008D32D8">
        <w:trPr>
          <w:trHeight w:val="255"/>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 </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jc w:val="center"/>
              <w:rPr>
                <w:sz w:val="20"/>
                <w:szCs w:val="20"/>
                <w:lang w:val="en-US"/>
              </w:rPr>
            </w:pPr>
            <w:r w:rsidRPr="00BA5143">
              <w:rPr>
                <w:sz w:val="20"/>
                <w:szCs w:val="20"/>
                <w:lang w:val="en-US"/>
              </w:rPr>
              <w:t>Assets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 </w:t>
            </w:r>
          </w:p>
        </w:tc>
        <w:tc>
          <w:tcPr>
            <w:tcW w:w="1383"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 </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1</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Cash and cash equivalents</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3 289</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3 289</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2</w:t>
            </w:r>
          </w:p>
        </w:tc>
        <w:tc>
          <w:tcPr>
            <w:tcW w:w="5575" w:type="dxa"/>
            <w:tcBorders>
              <w:top w:val="single" w:sz="4" w:space="0" w:color="auto"/>
              <w:left w:val="single" w:sz="4" w:space="0" w:color="auto"/>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Debt securities, which are accounted for at amortized cost</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169 043</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169 043</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3</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Total financial assets</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172 332</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172 332</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 </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Obligation</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rPr>
                <w:sz w:val="20"/>
                <w:szCs w:val="20"/>
                <w:lang w:val="en-US"/>
              </w:rPr>
            </w:pPr>
            <w:r w:rsidRPr="00BA5143">
              <w:rPr>
                <w:sz w:val="20"/>
                <w:szCs w:val="20"/>
                <w:lang w:val="en-US"/>
              </w:rPr>
              <w:t> </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rPr>
                <w:sz w:val="20"/>
                <w:szCs w:val="20"/>
                <w:lang w:val="en-US"/>
              </w:rPr>
            </w:pPr>
            <w:r w:rsidRPr="00BA5143">
              <w:rPr>
                <w:sz w:val="20"/>
                <w:szCs w:val="20"/>
                <w:lang w:val="en-US"/>
              </w:rPr>
              <w:t> </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lastRenderedPageBreak/>
              <w:t>4</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201937">
            <w:pPr>
              <w:rPr>
                <w:sz w:val="20"/>
                <w:szCs w:val="20"/>
                <w:lang w:val="en-US"/>
              </w:rPr>
            </w:pPr>
            <w:r w:rsidRPr="00BA5143">
              <w:rPr>
                <w:sz w:val="20"/>
                <w:szCs w:val="20"/>
                <w:lang w:val="en-US"/>
              </w:rPr>
              <w:t>Clients’</w:t>
            </w:r>
            <w:r w:rsidR="008D32D8" w:rsidRPr="00BA5143">
              <w:rPr>
                <w:sz w:val="20"/>
                <w:szCs w:val="20"/>
                <w:lang w:val="en-US"/>
              </w:rPr>
              <w:t xml:space="preserve"> money</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617</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617</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5</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Other obligations</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4</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4</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6</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Subordinated debt</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32 754</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32 754</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7</w:t>
            </w:r>
          </w:p>
        </w:tc>
        <w:tc>
          <w:tcPr>
            <w:tcW w:w="5575" w:type="dxa"/>
            <w:tcBorders>
              <w:top w:val="single" w:sz="4" w:space="0" w:color="auto"/>
              <w:left w:val="single" w:sz="4" w:space="0" w:color="auto"/>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Total financial liabilities</w:t>
            </w:r>
          </w:p>
        </w:tc>
        <w:tc>
          <w:tcPr>
            <w:tcW w:w="1417"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33 375</w:t>
            </w:r>
          </w:p>
        </w:tc>
        <w:tc>
          <w:tcPr>
            <w:tcW w:w="1383" w:type="dxa"/>
            <w:tcBorders>
              <w:top w:val="nil"/>
              <w:left w:val="nil"/>
              <w:bottom w:val="single" w:sz="8" w:space="0" w:color="auto"/>
              <w:right w:val="single" w:sz="8" w:space="0" w:color="auto"/>
            </w:tcBorders>
            <w:noWrap/>
            <w:vAlign w:val="center"/>
            <w:hideMark/>
          </w:tcPr>
          <w:p w:rsidR="008D32D8" w:rsidRPr="00BA5143" w:rsidRDefault="008D32D8">
            <w:pPr>
              <w:jc w:val="right"/>
              <w:rPr>
                <w:sz w:val="20"/>
                <w:szCs w:val="20"/>
                <w:lang w:val="en-US"/>
              </w:rPr>
            </w:pPr>
            <w:r w:rsidRPr="00BA5143">
              <w:rPr>
                <w:sz w:val="20"/>
                <w:szCs w:val="20"/>
                <w:lang w:val="en-US"/>
              </w:rPr>
              <w:t>33 375</w:t>
            </w:r>
          </w:p>
        </w:tc>
      </w:tr>
      <w:tr w:rsidR="008D32D8" w:rsidRPr="00BA5143" w:rsidTr="008D32D8">
        <w:trPr>
          <w:trHeight w:val="181"/>
        </w:trPr>
        <w:tc>
          <w:tcPr>
            <w:tcW w:w="961" w:type="dxa"/>
            <w:tcBorders>
              <w:top w:val="single" w:sz="4" w:space="0" w:color="auto"/>
              <w:left w:val="single" w:sz="4" w:space="0" w:color="auto"/>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8</w:t>
            </w:r>
          </w:p>
        </w:tc>
        <w:tc>
          <w:tcPr>
            <w:tcW w:w="5575" w:type="dxa"/>
            <w:tcBorders>
              <w:top w:val="single" w:sz="4" w:space="0" w:color="auto"/>
              <w:left w:val="single" w:sz="4" w:space="0" w:color="auto"/>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Net Balance Sheet for Financial Instruments</w:t>
            </w:r>
          </w:p>
        </w:tc>
        <w:tc>
          <w:tcPr>
            <w:tcW w:w="1417" w:type="dxa"/>
            <w:tcBorders>
              <w:top w:val="nil"/>
              <w:left w:val="nil"/>
              <w:bottom w:val="single" w:sz="8" w:space="0" w:color="auto"/>
              <w:right w:val="single" w:sz="8" w:space="0" w:color="auto"/>
            </w:tcBorders>
            <w:vAlign w:val="center"/>
            <w:hideMark/>
          </w:tcPr>
          <w:p w:rsidR="008D32D8" w:rsidRPr="00BA5143" w:rsidRDefault="008D32D8">
            <w:pPr>
              <w:jc w:val="right"/>
              <w:rPr>
                <w:sz w:val="20"/>
                <w:szCs w:val="20"/>
                <w:lang w:val="en-US"/>
              </w:rPr>
            </w:pPr>
            <w:r w:rsidRPr="00BA5143">
              <w:rPr>
                <w:sz w:val="20"/>
                <w:szCs w:val="20"/>
                <w:lang w:val="en-US"/>
              </w:rPr>
              <w:t>138 957</w:t>
            </w:r>
          </w:p>
        </w:tc>
        <w:tc>
          <w:tcPr>
            <w:tcW w:w="1383" w:type="dxa"/>
            <w:tcBorders>
              <w:top w:val="nil"/>
              <w:left w:val="nil"/>
              <w:bottom w:val="single" w:sz="8" w:space="0" w:color="auto"/>
              <w:right w:val="single" w:sz="8" w:space="0" w:color="auto"/>
            </w:tcBorders>
            <w:vAlign w:val="center"/>
            <w:hideMark/>
          </w:tcPr>
          <w:p w:rsidR="008D32D8" w:rsidRPr="00BA5143" w:rsidRDefault="008D32D8">
            <w:pPr>
              <w:jc w:val="right"/>
              <w:rPr>
                <w:sz w:val="20"/>
                <w:szCs w:val="20"/>
                <w:lang w:val="en-US"/>
              </w:rPr>
            </w:pPr>
            <w:r w:rsidRPr="00BA5143">
              <w:rPr>
                <w:sz w:val="20"/>
                <w:szCs w:val="20"/>
                <w:lang w:val="en-US"/>
              </w:rPr>
              <w:t>138 957</w:t>
            </w:r>
          </w:p>
        </w:tc>
      </w:tr>
    </w:tbl>
    <w:p w:rsidR="00C435F3" w:rsidRPr="00BA5143" w:rsidRDefault="00C435F3" w:rsidP="00C435F3">
      <w:pPr>
        <w:jc w:val="both"/>
        <w:rPr>
          <w:highlight w:val="yellow"/>
          <w:lang w:val="en-US"/>
        </w:rPr>
      </w:pPr>
    </w:p>
    <w:p w:rsidR="008D32D8" w:rsidRPr="00BA5143" w:rsidRDefault="008D32D8" w:rsidP="008B0277">
      <w:pPr>
        <w:pStyle w:val="a4"/>
        <w:spacing w:before="0" w:beforeAutospacing="0" w:after="0" w:afterAutospacing="0"/>
        <w:jc w:val="right"/>
        <w:rPr>
          <w:b/>
          <w:color w:val="000000"/>
          <w:lang w:val="en-US"/>
        </w:rPr>
      </w:pPr>
      <w:r w:rsidRPr="00BA5143">
        <w:rPr>
          <w:b/>
          <w:color w:val="000000"/>
          <w:lang w:val="en-US"/>
        </w:rPr>
        <w:t xml:space="preserve">Table 25.7. Analysis of the geographical concentration of financial assets and liabilities for 2017 </w:t>
      </w:r>
    </w:p>
    <w:p w:rsidR="008D32D8" w:rsidRPr="00BA5143" w:rsidRDefault="008D32D8" w:rsidP="008D32D8">
      <w:pPr>
        <w:spacing w:line="240" w:lineRule="exact"/>
        <w:ind w:firstLine="567"/>
        <w:jc w:val="right"/>
        <w:rPr>
          <w:lang w:val="en-US"/>
        </w:rPr>
      </w:pPr>
      <w:r w:rsidRPr="00BA5143">
        <w:rPr>
          <w:lang w:val="en-US"/>
        </w:rPr>
        <w:t>(ths. UAH.)</w:t>
      </w:r>
    </w:p>
    <w:tbl>
      <w:tblPr>
        <w:tblW w:w="9405" w:type="dxa"/>
        <w:tblInd w:w="93" w:type="dxa"/>
        <w:tblLook w:val="04A0"/>
      </w:tblPr>
      <w:tblGrid>
        <w:gridCol w:w="960"/>
        <w:gridCol w:w="5576"/>
        <w:gridCol w:w="1452"/>
        <w:gridCol w:w="1417"/>
      </w:tblGrid>
      <w:tr w:rsidR="008D32D8" w:rsidRPr="00BA5143" w:rsidTr="008D32D8">
        <w:trPr>
          <w:trHeight w:val="181"/>
        </w:trPr>
        <w:tc>
          <w:tcPr>
            <w:tcW w:w="960" w:type="dxa"/>
            <w:tcBorders>
              <w:top w:val="single" w:sz="8" w:space="0" w:color="auto"/>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Line </w:t>
            </w:r>
          </w:p>
        </w:tc>
        <w:tc>
          <w:tcPr>
            <w:tcW w:w="5576" w:type="dxa"/>
            <w:tcBorders>
              <w:top w:val="single" w:sz="8" w:space="0" w:color="auto"/>
              <w:left w:val="nil"/>
              <w:bottom w:val="single" w:sz="4" w:space="0" w:color="auto"/>
              <w:right w:val="single" w:sz="4" w:space="0" w:color="auto"/>
            </w:tcBorders>
            <w:noWrap/>
            <w:vAlign w:val="center"/>
            <w:hideMark/>
          </w:tcPr>
          <w:p w:rsidR="008D32D8" w:rsidRPr="00BA5143" w:rsidRDefault="00D33BE9">
            <w:pPr>
              <w:jc w:val="center"/>
              <w:rPr>
                <w:sz w:val="20"/>
                <w:szCs w:val="20"/>
                <w:lang w:val="en-US"/>
              </w:rPr>
            </w:pPr>
            <w:r w:rsidRPr="00BA5143">
              <w:rPr>
                <w:sz w:val="20"/>
                <w:szCs w:val="20"/>
                <w:lang w:val="en-US"/>
              </w:rPr>
              <w:t>Item</w:t>
            </w:r>
          </w:p>
        </w:tc>
        <w:tc>
          <w:tcPr>
            <w:tcW w:w="1452" w:type="dxa"/>
            <w:tcBorders>
              <w:top w:val="single" w:sz="8" w:space="0" w:color="auto"/>
              <w:left w:val="nil"/>
              <w:bottom w:val="single" w:sz="4" w:space="0" w:color="auto"/>
              <w:right w:val="single" w:sz="4" w:space="0" w:color="auto"/>
            </w:tcBorders>
            <w:noWrap/>
            <w:vAlign w:val="center"/>
            <w:hideMark/>
          </w:tcPr>
          <w:p w:rsidR="008D32D8" w:rsidRPr="00BA5143" w:rsidRDefault="008D32D8">
            <w:pPr>
              <w:jc w:val="center"/>
              <w:rPr>
                <w:sz w:val="20"/>
                <w:szCs w:val="20"/>
                <w:lang w:val="en-US"/>
              </w:rPr>
            </w:pPr>
            <w:r w:rsidRPr="00BA5143">
              <w:rPr>
                <w:sz w:val="20"/>
                <w:szCs w:val="20"/>
                <w:lang w:val="en-US"/>
              </w:rPr>
              <w:t>Ukraine</w:t>
            </w:r>
          </w:p>
        </w:tc>
        <w:tc>
          <w:tcPr>
            <w:tcW w:w="1417" w:type="dxa"/>
            <w:tcBorders>
              <w:top w:val="single" w:sz="8" w:space="0" w:color="auto"/>
              <w:left w:val="nil"/>
              <w:bottom w:val="single" w:sz="4" w:space="0" w:color="auto"/>
              <w:right w:val="single" w:sz="8" w:space="0" w:color="auto"/>
            </w:tcBorders>
            <w:noWrap/>
            <w:vAlign w:val="bottom"/>
            <w:hideMark/>
          </w:tcPr>
          <w:p w:rsidR="008D32D8" w:rsidRPr="00BA5143" w:rsidRDefault="008D32D8">
            <w:pPr>
              <w:jc w:val="center"/>
              <w:rPr>
                <w:sz w:val="20"/>
                <w:szCs w:val="20"/>
                <w:lang w:val="en-US"/>
              </w:rPr>
            </w:pPr>
            <w:r w:rsidRPr="00BA5143">
              <w:rPr>
                <w:sz w:val="20"/>
                <w:szCs w:val="20"/>
                <w:lang w:val="en-US"/>
              </w:rPr>
              <w:t>Total</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1</w:t>
            </w:r>
          </w:p>
        </w:tc>
        <w:tc>
          <w:tcPr>
            <w:tcW w:w="5576" w:type="dxa"/>
            <w:tcBorders>
              <w:top w:val="nil"/>
              <w:left w:val="nil"/>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2</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3</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center"/>
              <w:rPr>
                <w:sz w:val="20"/>
                <w:szCs w:val="20"/>
                <w:lang w:val="en-US"/>
              </w:rPr>
            </w:pPr>
            <w:r w:rsidRPr="00BA5143">
              <w:rPr>
                <w:sz w:val="20"/>
                <w:szCs w:val="20"/>
                <w:lang w:val="en-US"/>
              </w:rPr>
              <w:t>4</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rPr>
                <w:sz w:val="20"/>
                <w:szCs w:val="20"/>
                <w:lang w:val="en-US"/>
              </w:rPr>
            </w:pPr>
            <w:r w:rsidRPr="00BA5143">
              <w:rPr>
                <w:sz w:val="20"/>
                <w:szCs w:val="20"/>
                <w:lang w:val="en-US"/>
              </w:rPr>
              <w:t> </w:t>
            </w:r>
          </w:p>
        </w:tc>
        <w:tc>
          <w:tcPr>
            <w:tcW w:w="5576" w:type="dxa"/>
            <w:tcBorders>
              <w:top w:val="nil"/>
              <w:left w:val="nil"/>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Assets</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rPr>
                <w:sz w:val="20"/>
                <w:szCs w:val="20"/>
                <w:lang w:val="en-US"/>
              </w:rPr>
            </w:pPr>
            <w:r w:rsidRPr="00BA5143">
              <w:rPr>
                <w:sz w:val="20"/>
                <w:szCs w:val="20"/>
                <w:lang w:val="en-US"/>
              </w:rPr>
              <w:t> </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rPr>
                <w:sz w:val="20"/>
                <w:szCs w:val="20"/>
                <w:lang w:val="en-US"/>
              </w:rPr>
            </w:pPr>
            <w:r w:rsidRPr="00BA5143">
              <w:rPr>
                <w:sz w:val="20"/>
                <w:szCs w:val="20"/>
                <w:lang w:val="en-US"/>
              </w:rPr>
              <w:t> </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1</w:t>
            </w:r>
          </w:p>
        </w:tc>
        <w:tc>
          <w:tcPr>
            <w:tcW w:w="5576" w:type="dxa"/>
            <w:tcBorders>
              <w:top w:val="nil"/>
              <w:left w:val="nil"/>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Cash and cash equivalents</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sz w:val="20"/>
                <w:szCs w:val="20"/>
                <w:lang w:val="en-US"/>
              </w:rPr>
            </w:pPr>
            <w:r w:rsidRPr="00BA5143">
              <w:rPr>
                <w:sz w:val="20"/>
                <w:szCs w:val="20"/>
                <w:lang w:val="en-US"/>
              </w:rPr>
              <w:t>3 417</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sz w:val="20"/>
                <w:szCs w:val="20"/>
                <w:lang w:val="en-US"/>
              </w:rPr>
            </w:pPr>
            <w:r w:rsidRPr="00BA5143">
              <w:rPr>
                <w:sz w:val="20"/>
                <w:szCs w:val="20"/>
                <w:lang w:val="en-US"/>
              </w:rPr>
              <w:t>3 417</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2</w:t>
            </w:r>
          </w:p>
        </w:tc>
        <w:tc>
          <w:tcPr>
            <w:tcW w:w="5576"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Debt securities, which are accounted for at amortized cost</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sz w:val="20"/>
                <w:szCs w:val="20"/>
                <w:lang w:val="en-US"/>
              </w:rPr>
            </w:pPr>
            <w:r w:rsidRPr="00BA5143">
              <w:rPr>
                <w:sz w:val="20"/>
                <w:szCs w:val="20"/>
                <w:lang w:val="en-US"/>
              </w:rPr>
              <w:t>149 720</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sz w:val="20"/>
                <w:szCs w:val="20"/>
                <w:lang w:val="en-US"/>
              </w:rPr>
            </w:pPr>
            <w:r w:rsidRPr="00BA5143">
              <w:rPr>
                <w:sz w:val="20"/>
                <w:szCs w:val="20"/>
                <w:lang w:val="en-US"/>
              </w:rPr>
              <w:t>149 720</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b/>
                <w:bCs/>
                <w:sz w:val="20"/>
                <w:szCs w:val="20"/>
                <w:lang w:val="en-US"/>
              </w:rPr>
            </w:pPr>
            <w:r w:rsidRPr="00BA5143">
              <w:rPr>
                <w:b/>
                <w:bCs/>
                <w:sz w:val="20"/>
                <w:szCs w:val="20"/>
                <w:lang w:val="en-US"/>
              </w:rPr>
              <w:t>3</w:t>
            </w:r>
          </w:p>
        </w:tc>
        <w:tc>
          <w:tcPr>
            <w:tcW w:w="5576" w:type="dxa"/>
            <w:tcBorders>
              <w:top w:val="nil"/>
              <w:left w:val="nil"/>
              <w:bottom w:val="single" w:sz="4" w:space="0" w:color="auto"/>
              <w:right w:val="single" w:sz="4" w:space="0" w:color="auto"/>
            </w:tcBorders>
            <w:noWrap/>
            <w:hideMark/>
          </w:tcPr>
          <w:p w:rsidR="008D32D8" w:rsidRPr="00BA5143" w:rsidRDefault="008D32D8">
            <w:pPr>
              <w:rPr>
                <w:b/>
                <w:bCs/>
                <w:sz w:val="20"/>
                <w:szCs w:val="20"/>
                <w:lang w:val="en-US"/>
              </w:rPr>
            </w:pPr>
            <w:r w:rsidRPr="00BA5143">
              <w:rPr>
                <w:b/>
                <w:bCs/>
                <w:sz w:val="20"/>
                <w:szCs w:val="20"/>
                <w:lang w:val="en-US"/>
              </w:rPr>
              <w:t>Total financial assets</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b/>
                <w:sz w:val="20"/>
                <w:szCs w:val="20"/>
                <w:lang w:val="en-US"/>
              </w:rPr>
            </w:pPr>
            <w:r w:rsidRPr="00BA5143">
              <w:rPr>
                <w:b/>
                <w:sz w:val="20"/>
                <w:szCs w:val="20"/>
                <w:lang w:val="en-US"/>
              </w:rPr>
              <w:t>153 137</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b/>
                <w:sz w:val="20"/>
                <w:szCs w:val="20"/>
                <w:lang w:val="en-US"/>
              </w:rPr>
            </w:pPr>
            <w:r w:rsidRPr="00BA5143">
              <w:rPr>
                <w:b/>
                <w:sz w:val="20"/>
                <w:szCs w:val="20"/>
                <w:lang w:val="en-US"/>
              </w:rPr>
              <w:t>153 137</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 </w:t>
            </w:r>
          </w:p>
        </w:tc>
        <w:tc>
          <w:tcPr>
            <w:tcW w:w="5576" w:type="dxa"/>
            <w:tcBorders>
              <w:top w:val="nil"/>
              <w:left w:val="nil"/>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Obligation</w:t>
            </w:r>
          </w:p>
        </w:tc>
        <w:tc>
          <w:tcPr>
            <w:tcW w:w="1452" w:type="dxa"/>
            <w:tcBorders>
              <w:top w:val="nil"/>
              <w:left w:val="nil"/>
              <w:bottom w:val="single" w:sz="4" w:space="0" w:color="auto"/>
              <w:right w:val="single" w:sz="4" w:space="0" w:color="auto"/>
            </w:tcBorders>
            <w:noWrap/>
            <w:vAlign w:val="bottom"/>
          </w:tcPr>
          <w:p w:rsidR="008D32D8" w:rsidRPr="00BA5143" w:rsidRDefault="008D32D8">
            <w:pPr>
              <w:jc w:val="right"/>
              <w:rPr>
                <w:b/>
                <w:bCs/>
                <w:sz w:val="20"/>
                <w:szCs w:val="20"/>
                <w:lang w:val="en-US"/>
              </w:rPr>
            </w:pPr>
          </w:p>
        </w:tc>
        <w:tc>
          <w:tcPr>
            <w:tcW w:w="1417" w:type="dxa"/>
            <w:tcBorders>
              <w:top w:val="nil"/>
              <w:left w:val="nil"/>
              <w:bottom w:val="single" w:sz="4" w:space="0" w:color="auto"/>
              <w:right w:val="single" w:sz="8" w:space="0" w:color="auto"/>
            </w:tcBorders>
            <w:noWrap/>
            <w:vAlign w:val="bottom"/>
          </w:tcPr>
          <w:p w:rsidR="008D32D8" w:rsidRPr="00BA5143" w:rsidRDefault="008D32D8">
            <w:pPr>
              <w:jc w:val="right"/>
              <w:rPr>
                <w:b/>
                <w:bCs/>
                <w:sz w:val="20"/>
                <w:szCs w:val="20"/>
                <w:lang w:val="en-US"/>
              </w:rPr>
            </w:pP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4</w:t>
            </w:r>
          </w:p>
        </w:tc>
        <w:tc>
          <w:tcPr>
            <w:tcW w:w="5576" w:type="dxa"/>
            <w:tcBorders>
              <w:top w:val="nil"/>
              <w:left w:val="nil"/>
              <w:bottom w:val="single" w:sz="4" w:space="0" w:color="auto"/>
              <w:right w:val="single" w:sz="4" w:space="0" w:color="auto"/>
            </w:tcBorders>
            <w:noWrap/>
            <w:hideMark/>
          </w:tcPr>
          <w:p w:rsidR="008D32D8" w:rsidRPr="00BA5143" w:rsidRDefault="00201937">
            <w:pPr>
              <w:rPr>
                <w:sz w:val="20"/>
                <w:szCs w:val="20"/>
                <w:lang w:val="en-US"/>
              </w:rPr>
            </w:pPr>
            <w:r w:rsidRPr="00BA5143">
              <w:rPr>
                <w:sz w:val="20"/>
                <w:szCs w:val="20"/>
                <w:lang w:val="en-US"/>
              </w:rPr>
              <w:t>Clients’</w:t>
            </w:r>
            <w:r w:rsidR="008D32D8" w:rsidRPr="00BA5143">
              <w:rPr>
                <w:sz w:val="20"/>
                <w:szCs w:val="20"/>
                <w:lang w:val="en-US"/>
              </w:rPr>
              <w:t xml:space="preserve"> money</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sz w:val="20"/>
                <w:szCs w:val="20"/>
                <w:lang w:val="en-US"/>
              </w:rPr>
            </w:pPr>
            <w:r w:rsidRPr="00BA5143">
              <w:rPr>
                <w:sz w:val="20"/>
                <w:szCs w:val="20"/>
                <w:lang w:val="en-US"/>
              </w:rPr>
              <w:t>2 544</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sz w:val="20"/>
                <w:szCs w:val="20"/>
                <w:lang w:val="en-US"/>
              </w:rPr>
            </w:pPr>
            <w:r w:rsidRPr="00BA5143">
              <w:rPr>
                <w:sz w:val="20"/>
                <w:szCs w:val="20"/>
                <w:lang w:val="en-US"/>
              </w:rPr>
              <w:t>2 544</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sz w:val="20"/>
                <w:szCs w:val="20"/>
                <w:lang w:val="en-US"/>
              </w:rPr>
            </w:pPr>
            <w:r w:rsidRPr="00BA5143">
              <w:rPr>
                <w:sz w:val="20"/>
                <w:szCs w:val="20"/>
                <w:lang w:val="en-US"/>
              </w:rPr>
              <w:t>5</w:t>
            </w:r>
          </w:p>
        </w:tc>
        <w:tc>
          <w:tcPr>
            <w:tcW w:w="5576" w:type="dxa"/>
            <w:tcBorders>
              <w:top w:val="nil"/>
              <w:left w:val="nil"/>
              <w:bottom w:val="single" w:sz="4" w:space="0" w:color="auto"/>
              <w:right w:val="single" w:sz="4" w:space="0" w:color="auto"/>
            </w:tcBorders>
            <w:noWrap/>
            <w:hideMark/>
          </w:tcPr>
          <w:p w:rsidR="008D32D8" w:rsidRPr="00BA5143" w:rsidRDefault="008D32D8">
            <w:pPr>
              <w:rPr>
                <w:sz w:val="20"/>
                <w:szCs w:val="20"/>
                <w:lang w:val="en-US"/>
              </w:rPr>
            </w:pPr>
            <w:r w:rsidRPr="00BA5143">
              <w:rPr>
                <w:sz w:val="20"/>
                <w:szCs w:val="20"/>
                <w:lang w:val="en-US"/>
              </w:rPr>
              <w:t>Subordinated debt</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sz w:val="20"/>
                <w:szCs w:val="20"/>
                <w:lang w:val="en-US"/>
              </w:rPr>
            </w:pPr>
            <w:r w:rsidRPr="00BA5143">
              <w:rPr>
                <w:sz w:val="20"/>
                <w:szCs w:val="20"/>
                <w:lang w:val="en-US"/>
              </w:rPr>
              <w:t>23 296</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sz w:val="20"/>
                <w:szCs w:val="20"/>
                <w:lang w:val="en-US"/>
              </w:rPr>
            </w:pPr>
            <w:r w:rsidRPr="00BA5143">
              <w:rPr>
                <w:sz w:val="20"/>
                <w:szCs w:val="20"/>
                <w:lang w:val="en-US"/>
              </w:rPr>
              <w:t>23 296</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noWrap/>
            <w:vAlign w:val="bottom"/>
            <w:hideMark/>
          </w:tcPr>
          <w:p w:rsidR="008D32D8" w:rsidRPr="00BA5143" w:rsidRDefault="008D32D8">
            <w:pPr>
              <w:jc w:val="center"/>
              <w:rPr>
                <w:b/>
                <w:bCs/>
                <w:sz w:val="20"/>
                <w:szCs w:val="20"/>
                <w:lang w:val="en-US"/>
              </w:rPr>
            </w:pPr>
            <w:r w:rsidRPr="00BA5143">
              <w:rPr>
                <w:b/>
                <w:bCs/>
                <w:sz w:val="20"/>
                <w:szCs w:val="20"/>
                <w:lang w:val="en-US"/>
              </w:rPr>
              <w:t>6</w:t>
            </w:r>
          </w:p>
        </w:tc>
        <w:tc>
          <w:tcPr>
            <w:tcW w:w="5576" w:type="dxa"/>
            <w:tcBorders>
              <w:top w:val="nil"/>
              <w:left w:val="nil"/>
              <w:bottom w:val="single" w:sz="4" w:space="0" w:color="auto"/>
              <w:right w:val="single" w:sz="4" w:space="0" w:color="auto"/>
            </w:tcBorders>
            <w:noWrap/>
            <w:hideMark/>
          </w:tcPr>
          <w:p w:rsidR="008D32D8" w:rsidRPr="00BA5143" w:rsidRDefault="008D32D8">
            <w:pPr>
              <w:rPr>
                <w:b/>
                <w:bCs/>
                <w:sz w:val="20"/>
                <w:szCs w:val="20"/>
                <w:lang w:val="en-US"/>
              </w:rPr>
            </w:pPr>
            <w:r w:rsidRPr="00BA5143">
              <w:rPr>
                <w:b/>
                <w:bCs/>
                <w:sz w:val="20"/>
                <w:szCs w:val="20"/>
                <w:lang w:val="en-US"/>
              </w:rPr>
              <w:t>Total financial liabilities</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b/>
                <w:bCs/>
                <w:sz w:val="20"/>
                <w:szCs w:val="20"/>
                <w:lang w:val="en-US"/>
              </w:rPr>
            </w:pPr>
            <w:r w:rsidRPr="00BA5143">
              <w:rPr>
                <w:b/>
                <w:bCs/>
                <w:sz w:val="20"/>
                <w:szCs w:val="20"/>
                <w:lang w:val="en-US"/>
              </w:rPr>
              <w:t>25 840</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b/>
                <w:bCs/>
                <w:sz w:val="20"/>
                <w:szCs w:val="20"/>
                <w:lang w:val="en-US"/>
              </w:rPr>
            </w:pPr>
            <w:r w:rsidRPr="00BA5143">
              <w:rPr>
                <w:b/>
                <w:bCs/>
                <w:sz w:val="20"/>
                <w:szCs w:val="20"/>
                <w:lang w:val="en-US"/>
              </w:rPr>
              <w:t>25 840</w:t>
            </w:r>
          </w:p>
        </w:tc>
      </w:tr>
      <w:tr w:rsidR="008D32D8" w:rsidRPr="00BA5143" w:rsidTr="008D32D8">
        <w:trPr>
          <w:trHeight w:val="181"/>
        </w:trPr>
        <w:tc>
          <w:tcPr>
            <w:tcW w:w="960" w:type="dxa"/>
            <w:tcBorders>
              <w:top w:val="nil"/>
              <w:left w:val="single" w:sz="8"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7</w:t>
            </w:r>
          </w:p>
        </w:tc>
        <w:tc>
          <w:tcPr>
            <w:tcW w:w="5576"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Net Balance Sheet for Financial Instruments</w:t>
            </w:r>
          </w:p>
        </w:tc>
        <w:tc>
          <w:tcPr>
            <w:tcW w:w="1452" w:type="dxa"/>
            <w:tcBorders>
              <w:top w:val="nil"/>
              <w:left w:val="nil"/>
              <w:bottom w:val="single" w:sz="4" w:space="0" w:color="auto"/>
              <w:right w:val="single" w:sz="4" w:space="0" w:color="auto"/>
            </w:tcBorders>
            <w:noWrap/>
            <w:vAlign w:val="bottom"/>
            <w:hideMark/>
          </w:tcPr>
          <w:p w:rsidR="008D32D8" w:rsidRPr="00BA5143" w:rsidRDefault="008D32D8">
            <w:pPr>
              <w:jc w:val="right"/>
              <w:rPr>
                <w:sz w:val="20"/>
                <w:szCs w:val="20"/>
                <w:lang w:val="en-US"/>
              </w:rPr>
            </w:pPr>
            <w:r w:rsidRPr="00BA5143">
              <w:rPr>
                <w:sz w:val="20"/>
                <w:szCs w:val="20"/>
                <w:lang w:val="en-US"/>
              </w:rPr>
              <w:t>127 297</w:t>
            </w:r>
          </w:p>
        </w:tc>
        <w:tc>
          <w:tcPr>
            <w:tcW w:w="1417" w:type="dxa"/>
            <w:tcBorders>
              <w:top w:val="nil"/>
              <w:left w:val="nil"/>
              <w:bottom w:val="single" w:sz="4" w:space="0" w:color="auto"/>
              <w:right w:val="single" w:sz="8" w:space="0" w:color="auto"/>
            </w:tcBorders>
            <w:noWrap/>
            <w:vAlign w:val="bottom"/>
            <w:hideMark/>
          </w:tcPr>
          <w:p w:rsidR="008D32D8" w:rsidRPr="00BA5143" w:rsidRDefault="008D32D8">
            <w:pPr>
              <w:jc w:val="right"/>
              <w:rPr>
                <w:sz w:val="20"/>
                <w:szCs w:val="20"/>
                <w:lang w:val="en-US"/>
              </w:rPr>
            </w:pPr>
            <w:r w:rsidRPr="00BA5143">
              <w:rPr>
                <w:sz w:val="20"/>
                <w:szCs w:val="20"/>
                <w:lang w:val="en-US"/>
              </w:rPr>
              <w:t>127 297</w:t>
            </w:r>
          </w:p>
        </w:tc>
      </w:tr>
    </w:tbl>
    <w:p w:rsidR="006A33DF" w:rsidRPr="00BA5143" w:rsidRDefault="006A33DF" w:rsidP="00C435F3">
      <w:pPr>
        <w:pStyle w:val="a4"/>
        <w:spacing w:before="0" w:beforeAutospacing="0" w:after="0" w:afterAutospacing="0"/>
        <w:jc w:val="both"/>
        <w:rPr>
          <w:b/>
          <w:color w:val="000000"/>
          <w:lang w:val="en-US"/>
        </w:rPr>
      </w:pPr>
    </w:p>
    <w:p w:rsidR="00D006EE" w:rsidRPr="00BA5143" w:rsidRDefault="00D006EE" w:rsidP="00C435F3">
      <w:pPr>
        <w:ind w:firstLine="567"/>
        <w:jc w:val="both"/>
        <w:rPr>
          <w:b/>
          <w:lang w:val="en-US"/>
        </w:rPr>
      </w:pPr>
      <w:r w:rsidRPr="00BA5143">
        <w:rPr>
          <w:b/>
          <w:lang w:val="en-US"/>
        </w:rPr>
        <w:t>Liquidity risk</w:t>
      </w:r>
    </w:p>
    <w:p w:rsidR="00D006EE" w:rsidRPr="00BA5143" w:rsidRDefault="00D006EE" w:rsidP="00C435F3">
      <w:pPr>
        <w:ind w:firstLine="567"/>
        <w:jc w:val="both"/>
        <w:rPr>
          <w:b/>
          <w:lang w:val="en-US"/>
        </w:rPr>
      </w:pPr>
    </w:p>
    <w:p w:rsidR="00BC6D7A" w:rsidRPr="00BA5143" w:rsidRDefault="00BC6D7A" w:rsidP="00BC6D7A">
      <w:pPr>
        <w:ind w:firstLine="567"/>
        <w:rPr>
          <w:lang w:val="en-US"/>
        </w:rPr>
      </w:pPr>
      <w:r w:rsidRPr="00BA5143">
        <w:rPr>
          <w:lang w:val="en-US"/>
        </w:rPr>
        <w:t>Liquidity risk is the probability of losses or additional losses or shortfall in planned revenues as a result of the bank's failure to provide financing for the growth of assets and / or fulfillment of its obligations in due time.</w:t>
      </w:r>
    </w:p>
    <w:p w:rsidR="00BC6D7A" w:rsidRPr="00BA5143" w:rsidRDefault="00BC6D7A" w:rsidP="00BC6D7A">
      <w:pPr>
        <w:ind w:firstLine="567"/>
        <w:rPr>
          <w:lang w:val="en-US"/>
        </w:rPr>
      </w:pPr>
      <w:r w:rsidRPr="00BA5143">
        <w:rPr>
          <w:lang w:val="en-US"/>
        </w:rPr>
        <w:t>In terms of liquidity risk management, the Bank continuously determines the needs for current and timely liquidity, and the amount of funding required by the Bank to conduct operations. On a daily and monthly basis, the analysis of the movement of balances and turnover in accounts, the dynamics of the formation of the resource base and the structure and directions of the placement of temporarily free funds is carried out. The Bank's liquidity risk management is based on planning / forward forecasting of the main liquidity parameters and risk scenario modeling. To do this, the Bank:</w:t>
      </w:r>
    </w:p>
    <w:p w:rsidR="00BC6D7A" w:rsidRPr="00BA5143" w:rsidRDefault="00BC6D7A" w:rsidP="00BC6D7A">
      <w:pPr>
        <w:ind w:firstLine="567"/>
        <w:rPr>
          <w:lang w:val="en-US"/>
        </w:rPr>
      </w:pPr>
      <w:r w:rsidRPr="00BA5143">
        <w:rPr>
          <w:lang w:val="en-US"/>
        </w:rPr>
        <w:t>- Current activity takes into account the possibility of a shortage of liquidity in the event of a crisis in the financial market and / or a deterioration in the Bank's financial position and conducts stress testing on a quarterly basis;</w:t>
      </w:r>
    </w:p>
    <w:p w:rsidR="00BC6D7A" w:rsidRPr="00BA5143" w:rsidRDefault="00BC6D7A" w:rsidP="00BC6D7A">
      <w:pPr>
        <w:ind w:firstLine="567"/>
        <w:rPr>
          <w:lang w:val="en-US"/>
        </w:rPr>
      </w:pPr>
      <w:r w:rsidRPr="00BA5143">
        <w:rPr>
          <w:lang w:val="en-US"/>
        </w:rPr>
        <w:t>- conducts operational forecasting of liquidity ratios;</w:t>
      </w:r>
    </w:p>
    <w:p w:rsidR="00BC6D7A" w:rsidRPr="00BA5143" w:rsidRDefault="00BC6D7A" w:rsidP="00BC6D7A">
      <w:pPr>
        <w:ind w:firstLine="567"/>
        <w:rPr>
          <w:lang w:val="en-US"/>
        </w:rPr>
      </w:pPr>
      <w:r w:rsidRPr="00BA5143">
        <w:rPr>
          <w:lang w:val="en-US"/>
        </w:rPr>
        <w:t>- establishes internal limits of liquidity and conducts an analysis of their compliance on a monthly basis;</w:t>
      </w:r>
    </w:p>
    <w:p w:rsidR="00C435F3" w:rsidRPr="00BA5143" w:rsidRDefault="00BC6D7A" w:rsidP="00BC6D7A">
      <w:pPr>
        <w:ind w:firstLine="567"/>
        <w:rPr>
          <w:lang w:val="en-US"/>
        </w:rPr>
      </w:pPr>
      <w:r w:rsidRPr="00BA5143">
        <w:rPr>
          <w:lang w:val="en-US"/>
        </w:rPr>
        <w:t>- in the management of the balance sheet in order to minimize liquidity risk, account shall be taken of the relationship of liquidity risk with other types of Bank's risks, economic and political situation at the moment and in the future.</w:t>
      </w:r>
    </w:p>
    <w:p w:rsidR="00BC6D7A" w:rsidRPr="00BA5143" w:rsidRDefault="00BC6D7A" w:rsidP="00BC6D7A">
      <w:pPr>
        <w:rPr>
          <w:color w:val="000000"/>
          <w:lang w:val="en-US"/>
        </w:rPr>
      </w:pPr>
    </w:p>
    <w:p w:rsidR="00BC6D7A" w:rsidRPr="00BA5143" w:rsidRDefault="00BC6D7A" w:rsidP="00BC6D7A">
      <w:pPr>
        <w:ind w:firstLine="540"/>
        <w:jc w:val="both"/>
        <w:rPr>
          <w:lang w:val="en-US"/>
        </w:rPr>
      </w:pPr>
      <w:r w:rsidRPr="00BA5143">
        <w:rPr>
          <w:lang w:val="en-US"/>
        </w:rPr>
        <w:t>Liquidity risk management is carried out by the Bank with the following instruments:</w:t>
      </w:r>
    </w:p>
    <w:p w:rsidR="00BC6D7A" w:rsidRPr="00BA5143" w:rsidRDefault="00BC6D7A" w:rsidP="00BC6D7A">
      <w:pPr>
        <w:ind w:firstLine="540"/>
        <w:jc w:val="both"/>
        <w:rPr>
          <w:lang w:val="en-US"/>
        </w:rPr>
      </w:pPr>
      <w:r w:rsidRPr="00BA5143">
        <w:rPr>
          <w:lang w:val="en-US"/>
        </w:rPr>
        <w:t>- ensuring compliance with liquidity norms and mandatory reserve requirements;</w:t>
      </w:r>
    </w:p>
    <w:p w:rsidR="00BC6D7A" w:rsidRPr="00BA5143" w:rsidRDefault="00BC6D7A" w:rsidP="00BC6D7A">
      <w:pPr>
        <w:ind w:firstLine="540"/>
        <w:jc w:val="both"/>
        <w:rPr>
          <w:lang w:val="en-US"/>
        </w:rPr>
      </w:pPr>
      <w:r w:rsidRPr="00BA5143">
        <w:rPr>
          <w:lang w:val="en-US"/>
        </w:rPr>
        <w:t>- assessment of the net liquidity position;</w:t>
      </w:r>
    </w:p>
    <w:p w:rsidR="00BC6D7A" w:rsidRPr="00BA5143" w:rsidRDefault="00BC6D7A" w:rsidP="00BC6D7A">
      <w:pPr>
        <w:ind w:firstLine="540"/>
        <w:jc w:val="both"/>
        <w:rPr>
          <w:lang w:val="en-US"/>
        </w:rPr>
      </w:pPr>
      <w:r w:rsidRPr="00BA5143">
        <w:rPr>
          <w:lang w:val="en-US"/>
        </w:rPr>
        <w:t>- diversification of sources of attraction;</w:t>
      </w:r>
    </w:p>
    <w:p w:rsidR="00BC6D7A" w:rsidRPr="00BA5143" w:rsidRDefault="00BC6D7A" w:rsidP="00BC6D7A">
      <w:pPr>
        <w:ind w:firstLine="540"/>
        <w:jc w:val="both"/>
        <w:rPr>
          <w:lang w:val="en-US"/>
        </w:rPr>
      </w:pPr>
      <w:r w:rsidRPr="00BA5143">
        <w:rPr>
          <w:lang w:val="en-US"/>
        </w:rPr>
        <w:t>- Measure, evaluate and compare the values ​​of liquidity ratios of the Bank's balance sheet;</w:t>
      </w:r>
    </w:p>
    <w:p w:rsidR="00BC6D7A" w:rsidRPr="00BA5143" w:rsidRDefault="00BC6D7A" w:rsidP="00BC6D7A">
      <w:pPr>
        <w:ind w:firstLine="540"/>
        <w:jc w:val="both"/>
        <w:rPr>
          <w:lang w:val="en-US"/>
        </w:rPr>
      </w:pPr>
      <w:r w:rsidRPr="00BA5143">
        <w:rPr>
          <w:lang w:val="en-US"/>
        </w:rPr>
        <w:t>- analysis of the Bank's assets and liabilities discontinuities in terms of asset recovery and repayment of liabilities;</w:t>
      </w:r>
    </w:p>
    <w:p w:rsidR="00BC6D7A" w:rsidRPr="00BA5143" w:rsidRDefault="00BC6D7A" w:rsidP="00BC6D7A">
      <w:pPr>
        <w:ind w:firstLine="540"/>
        <w:jc w:val="both"/>
        <w:rPr>
          <w:lang w:val="en-US"/>
        </w:rPr>
      </w:pPr>
      <w:r w:rsidRPr="00BA5143">
        <w:rPr>
          <w:lang w:val="en-US"/>
        </w:rPr>
        <w:t>- limiting the values ​​of the liquidity ratios of the balance, as well as the magnitude of the breaks</w:t>
      </w:r>
    </w:p>
    <w:p w:rsidR="00BC6D7A" w:rsidRPr="00BA5143" w:rsidRDefault="00BC6D7A" w:rsidP="00BC6D7A">
      <w:pPr>
        <w:ind w:firstLine="540"/>
        <w:jc w:val="both"/>
        <w:rPr>
          <w:lang w:val="en-US"/>
        </w:rPr>
      </w:pPr>
      <w:r w:rsidRPr="00BA5143">
        <w:rPr>
          <w:lang w:val="en-US"/>
        </w:rPr>
        <w:t>assets and liabilities of the Bank for the terms of return of assets and repayment of liabilities;</w:t>
      </w:r>
    </w:p>
    <w:p w:rsidR="00BC6D7A" w:rsidRPr="00BA5143" w:rsidRDefault="00BC6D7A" w:rsidP="00BC6D7A">
      <w:pPr>
        <w:ind w:firstLine="540"/>
        <w:jc w:val="both"/>
        <w:rPr>
          <w:lang w:val="en-US"/>
        </w:rPr>
      </w:pPr>
      <w:r w:rsidRPr="00BA5143">
        <w:rPr>
          <w:lang w:val="en-US"/>
        </w:rPr>
        <w:lastRenderedPageBreak/>
        <w:t>- non-working assets are funded by other liabilities and fixed capital;</w:t>
      </w:r>
    </w:p>
    <w:p w:rsidR="00BC6D7A" w:rsidRPr="00BA5143" w:rsidRDefault="00BC6D7A" w:rsidP="00BC6D7A">
      <w:pPr>
        <w:ind w:firstLine="540"/>
        <w:jc w:val="both"/>
        <w:rPr>
          <w:lang w:val="en-US"/>
        </w:rPr>
      </w:pPr>
      <w:r w:rsidRPr="00BA5143">
        <w:rPr>
          <w:lang w:val="en-US"/>
        </w:rPr>
        <w:t>- The volume of working assets generating income should be greater than the volume of own working capital and urgent customer deposits.</w:t>
      </w:r>
    </w:p>
    <w:p w:rsidR="00BC6D7A" w:rsidRPr="00BA5143" w:rsidRDefault="00BC6D7A" w:rsidP="00BC6D7A">
      <w:pPr>
        <w:ind w:firstLine="540"/>
        <w:jc w:val="both"/>
        <w:rPr>
          <w:lang w:val="en-US"/>
        </w:rPr>
      </w:pPr>
    </w:p>
    <w:p w:rsidR="00BC6D7A" w:rsidRPr="00BA5143" w:rsidRDefault="00BC6D7A" w:rsidP="00BC6D7A">
      <w:pPr>
        <w:ind w:firstLine="540"/>
        <w:jc w:val="both"/>
        <w:rPr>
          <w:lang w:val="en-US"/>
        </w:rPr>
      </w:pPr>
      <w:r w:rsidRPr="00BA5143">
        <w:rPr>
          <w:lang w:val="en-US"/>
        </w:rPr>
        <w:t>Liquidity management of the Bank is carried out in standard and crisis management regimes. "Asset and Liability Management Policy" and "Provisions on managing major banking risks" regulate liquidity management in the standard mode, while liquidity management in a crisis regime is regulated by the "Regulation on anti-crisis management and the order of interaction of units in the conditions of the liquidity crisis".</w:t>
      </w:r>
    </w:p>
    <w:p w:rsidR="00BC6D7A" w:rsidRPr="00BA5143" w:rsidRDefault="00BC6D7A" w:rsidP="00BC6D7A">
      <w:pPr>
        <w:ind w:firstLine="540"/>
        <w:jc w:val="both"/>
        <w:rPr>
          <w:lang w:val="en-US"/>
        </w:rPr>
      </w:pPr>
    </w:p>
    <w:p w:rsidR="00C435F3" w:rsidRPr="00BA5143" w:rsidRDefault="00BC6D7A" w:rsidP="00BC6D7A">
      <w:pPr>
        <w:ind w:firstLine="540"/>
        <w:jc w:val="both"/>
        <w:rPr>
          <w:lang w:val="en-US"/>
        </w:rPr>
      </w:pPr>
      <w:r w:rsidRPr="00BA5143">
        <w:rPr>
          <w:lang w:val="en-US"/>
        </w:rPr>
        <w:t>In order to ensure the fulfillment of its current liabilities during one operating day, the Bank always has not only the minimum required volume of highly liquid assets, but also the reserve of funds for execution of unforeseen payments. Actual values ​​of the norm of instant liquidity during the reporting year significantly exceeded the normative values ​​and the reporting dates were as follows:</w:t>
      </w:r>
    </w:p>
    <w:tbl>
      <w:tblPr>
        <w:tblW w:w="9370" w:type="dxa"/>
        <w:tblInd w:w="98" w:type="dxa"/>
        <w:tblLook w:val="0000"/>
      </w:tblPr>
      <w:tblGrid>
        <w:gridCol w:w="2170"/>
        <w:gridCol w:w="2160"/>
        <w:gridCol w:w="2520"/>
        <w:gridCol w:w="2520"/>
      </w:tblGrid>
      <w:tr w:rsidR="008D32D8" w:rsidRPr="00BA5143" w:rsidTr="00EC240A">
        <w:trPr>
          <w:trHeight w:val="653"/>
        </w:trPr>
        <w:tc>
          <w:tcPr>
            <w:tcW w:w="2170" w:type="dxa"/>
            <w:tcBorders>
              <w:top w:val="single" w:sz="8" w:space="0" w:color="auto"/>
              <w:left w:val="single" w:sz="8" w:space="0" w:color="auto"/>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By date</w:t>
            </w:r>
          </w:p>
        </w:tc>
        <w:tc>
          <w:tcPr>
            <w:tcW w:w="216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Normative value</w:t>
            </w:r>
          </w:p>
        </w:tc>
        <w:tc>
          <w:tcPr>
            <w:tcW w:w="252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Actual value of the </w:t>
            </w:r>
            <w:r w:rsidR="00201937" w:rsidRPr="00BA5143">
              <w:rPr>
                <w:bCs/>
                <w:sz w:val="20"/>
                <w:szCs w:val="20"/>
                <w:lang w:val="en-US"/>
              </w:rPr>
              <w:t>normative, %</w:t>
            </w:r>
          </w:p>
        </w:tc>
        <w:tc>
          <w:tcPr>
            <w:tcW w:w="252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Normative of Performance </w:t>
            </w:r>
            <w:r w:rsidR="00201937" w:rsidRPr="00BA5143">
              <w:rPr>
                <w:bCs/>
                <w:sz w:val="20"/>
                <w:szCs w:val="20"/>
                <w:lang w:val="en-US"/>
              </w:rPr>
              <w:t>reserve, %</w:t>
            </w:r>
          </w:p>
        </w:tc>
      </w:tr>
      <w:tr w:rsidR="00C435F3" w:rsidRPr="00BA5143" w:rsidTr="00EC240A">
        <w:trPr>
          <w:trHeight w:val="60"/>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01.02.2018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1262,12%</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1242,12%</w:t>
            </w:r>
          </w:p>
        </w:tc>
      </w:tr>
      <w:tr w:rsidR="00C435F3" w:rsidRPr="00BA5143" w:rsidTr="00EC240A">
        <w:trPr>
          <w:trHeight w:val="162"/>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01.03.2018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17596,90%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17576,90%</w:t>
            </w:r>
          </w:p>
        </w:tc>
      </w:tr>
      <w:tr w:rsidR="00C435F3" w:rsidRPr="00BA5143" w:rsidTr="00EC240A">
        <w:trPr>
          <w:trHeight w:val="60"/>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01.04.2018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21052,22%</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21032,22%</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01.05.2018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6111,13%</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6091,13%</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01.06.2018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46382,53%</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46362,53%</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01.07.2018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25337,47%</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25317,47%</w:t>
            </w:r>
          </w:p>
        </w:tc>
      </w:tr>
      <w:tr w:rsidR="00C435F3" w:rsidRPr="00BA5143" w:rsidTr="00EC240A">
        <w:trPr>
          <w:trHeight w:val="50"/>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01.08.2018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13514,06%</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13494,06%</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01.09.2018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21445,61%</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21425,61%</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01.10.2018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10535,99%</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10515,99%</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01.11.2018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9119,69%</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9099,69%</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01.12.2018</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27754,29%</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27734,29%</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01.01.2019</w:t>
            </w:r>
          </w:p>
        </w:tc>
        <w:tc>
          <w:tcPr>
            <w:tcW w:w="216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20%</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27961,57%</w:t>
            </w:r>
          </w:p>
        </w:tc>
        <w:tc>
          <w:tcPr>
            <w:tcW w:w="2520" w:type="dxa"/>
            <w:tcBorders>
              <w:top w:val="nil"/>
              <w:left w:val="nil"/>
              <w:bottom w:val="single" w:sz="8" w:space="0" w:color="auto"/>
              <w:right w:val="single" w:sz="8" w:space="0" w:color="auto"/>
            </w:tcBorders>
            <w:shd w:val="clear" w:color="auto" w:fill="auto"/>
            <w:vAlign w:val="center"/>
          </w:tcPr>
          <w:p w:rsidR="00C435F3" w:rsidRPr="00BA5143" w:rsidRDefault="00C435F3" w:rsidP="00EC240A">
            <w:pPr>
              <w:jc w:val="center"/>
              <w:rPr>
                <w:bCs/>
                <w:sz w:val="20"/>
                <w:szCs w:val="20"/>
                <w:lang w:val="en-US"/>
              </w:rPr>
            </w:pPr>
            <w:r w:rsidRPr="00BA5143">
              <w:rPr>
                <w:bCs/>
                <w:sz w:val="20"/>
                <w:szCs w:val="20"/>
                <w:lang w:val="en-US"/>
              </w:rPr>
              <w:t>27941,57%</w:t>
            </w:r>
          </w:p>
        </w:tc>
      </w:tr>
    </w:tbl>
    <w:p w:rsidR="00C435F3" w:rsidRPr="00BA5143" w:rsidRDefault="00C435F3" w:rsidP="00C435F3">
      <w:pPr>
        <w:ind w:firstLine="540"/>
        <w:jc w:val="both"/>
        <w:rPr>
          <w:lang w:val="en-US"/>
        </w:rPr>
      </w:pPr>
    </w:p>
    <w:p w:rsidR="00C435F3" w:rsidRPr="00BA5143" w:rsidRDefault="00BC6D7A" w:rsidP="00C435F3">
      <w:pPr>
        <w:ind w:firstLine="540"/>
        <w:jc w:val="both"/>
        <w:rPr>
          <w:lang w:val="en-US"/>
        </w:rPr>
      </w:pPr>
      <w:r w:rsidRPr="00BA5143">
        <w:rPr>
          <w:lang w:val="en-US"/>
        </w:rPr>
        <w:t xml:space="preserve">Current liabilities within one calendar month by installing the minimum required amount of assets of the Bank to perform the total liabilities of the period, but the actual indicators of current liquidity show that during the year the Bank had assets with residual maturity up to 31 </w:t>
      </w:r>
      <w:r w:rsidR="00C13E4C" w:rsidRPr="00BA5143">
        <w:rPr>
          <w:lang w:val="en-US"/>
        </w:rPr>
        <w:t>days,</w:t>
      </w:r>
      <w:r w:rsidRPr="00BA5143">
        <w:rPr>
          <w:lang w:val="en-US"/>
        </w:rPr>
        <w:t xml:space="preserve"> significantly higher than the minimum necessary:</w:t>
      </w:r>
    </w:p>
    <w:tbl>
      <w:tblPr>
        <w:tblW w:w="9370" w:type="dxa"/>
        <w:tblInd w:w="98" w:type="dxa"/>
        <w:tblLook w:val="0000"/>
      </w:tblPr>
      <w:tblGrid>
        <w:gridCol w:w="2170"/>
        <w:gridCol w:w="2160"/>
        <w:gridCol w:w="2520"/>
        <w:gridCol w:w="2520"/>
      </w:tblGrid>
      <w:tr w:rsidR="008D32D8" w:rsidRPr="00BA5143" w:rsidTr="00EC240A">
        <w:trPr>
          <w:trHeight w:val="653"/>
        </w:trPr>
        <w:tc>
          <w:tcPr>
            <w:tcW w:w="2170" w:type="dxa"/>
            <w:tcBorders>
              <w:top w:val="single" w:sz="8" w:space="0" w:color="auto"/>
              <w:left w:val="single" w:sz="8" w:space="0" w:color="auto"/>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By date</w:t>
            </w:r>
          </w:p>
        </w:tc>
        <w:tc>
          <w:tcPr>
            <w:tcW w:w="216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Normative value</w:t>
            </w:r>
          </w:p>
        </w:tc>
        <w:tc>
          <w:tcPr>
            <w:tcW w:w="252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Actual value of the </w:t>
            </w:r>
            <w:r w:rsidR="00C13E4C" w:rsidRPr="00BA5143">
              <w:rPr>
                <w:bCs/>
                <w:sz w:val="20"/>
                <w:szCs w:val="20"/>
                <w:lang w:val="en-US"/>
              </w:rPr>
              <w:t>normative, %</w:t>
            </w:r>
          </w:p>
        </w:tc>
        <w:tc>
          <w:tcPr>
            <w:tcW w:w="2520" w:type="dxa"/>
            <w:tcBorders>
              <w:top w:val="single" w:sz="8" w:space="0" w:color="auto"/>
              <w:left w:val="nil"/>
              <w:bottom w:val="single" w:sz="8" w:space="0" w:color="auto"/>
              <w:right w:val="single" w:sz="8" w:space="0" w:color="auto"/>
            </w:tcBorders>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Normative of Performance </w:t>
            </w:r>
            <w:r w:rsidR="00C13E4C" w:rsidRPr="00BA5143">
              <w:rPr>
                <w:bCs/>
                <w:sz w:val="20"/>
                <w:szCs w:val="20"/>
                <w:lang w:val="en-US"/>
              </w:rPr>
              <w:t>reserve, %</w:t>
            </w:r>
          </w:p>
        </w:tc>
      </w:tr>
      <w:tr w:rsidR="00C435F3" w:rsidRPr="00BA5143" w:rsidTr="00EC240A">
        <w:trPr>
          <w:trHeight w:val="148"/>
        </w:trPr>
        <w:tc>
          <w:tcPr>
            <w:tcW w:w="2170" w:type="dxa"/>
            <w:tcBorders>
              <w:top w:val="nil"/>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01.02.2018</w:t>
            </w:r>
          </w:p>
        </w:tc>
        <w:tc>
          <w:tcPr>
            <w:tcW w:w="216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5910,48%</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5870,48%</w:t>
            </w:r>
          </w:p>
        </w:tc>
      </w:tr>
      <w:tr w:rsidR="00C435F3" w:rsidRPr="00BA5143" w:rsidTr="00EC240A">
        <w:trPr>
          <w:trHeight w:val="162"/>
        </w:trPr>
        <w:tc>
          <w:tcPr>
            <w:tcW w:w="2170" w:type="dxa"/>
            <w:tcBorders>
              <w:top w:val="nil"/>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01.03.2018</w:t>
            </w:r>
          </w:p>
        </w:tc>
        <w:tc>
          <w:tcPr>
            <w:tcW w:w="216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69298,89%</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69258,89%</w:t>
            </w:r>
          </w:p>
        </w:tc>
      </w:tr>
      <w:tr w:rsidR="00C435F3" w:rsidRPr="00BA5143" w:rsidTr="00EC240A">
        <w:trPr>
          <w:trHeight w:val="62"/>
        </w:trPr>
        <w:tc>
          <w:tcPr>
            <w:tcW w:w="2170" w:type="dxa"/>
            <w:tcBorders>
              <w:top w:val="nil"/>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01.04.2018</w:t>
            </w:r>
          </w:p>
        </w:tc>
        <w:tc>
          <w:tcPr>
            <w:tcW w:w="216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74611,02%</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74571,02%</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01.05.2018</w:t>
            </w:r>
          </w:p>
        </w:tc>
        <w:tc>
          <w:tcPr>
            <w:tcW w:w="216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81239,35%</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81199,35%</w:t>
            </w:r>
          </w:p>
        </w:tc>
      </w:tr>
      <w:tr w:rsidR="00C435F3" w:rsidRPr="00BA5143" w:rsidTr="00EC240A">
        <w:trPr>
          <w:trHeight w:val="48"/>
        </w:trPr>
        <w:tc>
          <w:tcPr>
            <w:tcW w:w="2170" w:type="dxa"/>
            <w:tcBorders>
              <w:top w:val="nil"/>
              <w:left w:val="single" w:sz="8" w:space="0" w:color="auto"/>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01.06.2018</w:t>
            </w:r>
          </w:p>
        </w:tc>
        <w:tc>
          <w:tcPr>
            <w:tcW w:w="216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82328,14%</w:t>
            </w:r>
          </w:p>
        </w:tc>
        <w:tc>
          <w:tcPr>
            <w:tcW w:w="252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82288,14%</w:t>
            </w:r>
          </w:p>
        </w:tc>
      </w:tr>
      <w:tr w:rsidR="00C435F3" w:rsidRPr="00BA5143" w:rsidTr="00EC240A">
        <w:trPr>
          <w:trHeight w:val="48"/>
        </w:trPr>
        <w:tc>
          <w:tcPr>
            <w:tcW w:w="2170" w:type="dxa"/>
            <w:tcBorders>
              <w:top w:val="single" w:sz="4" w:space="0" w:color="auto"/>
              <w:left w:val="single" w:sz="4" w:space="0" w:color="auto"/>
              <w:bottom w:val="single" w:sz="4"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01.07.2018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77300,34%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77260,34%</w:t>
            </w:r>
          </w:p>
        </w:tc>
      </w:tr>
      <w:tr w:rsidR="00C435F3" w:rsidRPr="00BA5143" w:rsidTr="00EC240A">
        <w:trPr>
          <w:trHeight w:val="50"/>
        </w:trPr>
        <w:tc>
          <w:tcPr>
            <w:tcW w:w="2170" w:type="dxa"/>
            <w:tcBorders>
              <w:top w:val="single" w:sz="4" w:space="0" w:color="auto"/>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01.08.2018</w:t>
            </w:r>
          </w:p>
        </w:tc>
        <w:tc>
          <w:tcPr>
            <w:tcW w:w="216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35829,04%</w:t>
            </w:r>
          </w:p>
        </w:tc>
        <w:tc>
          <w:tcPr>
            <w:tcW w:w="252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35789,04%</w:t>
            </w:r>
          </w:p>
        </w:tc>
      </w:tr>
      <w:tr w:rsidR="00C435F3" w:rsidRPr="00BA5143" w:rsidTr="00EC240A">
        <w:trPr>
          <w:trHeight w:val="48"/>
        </w:trPr>
        <w:tc>
          <w:tcPr>
            <w:tcW w:w="2170" w:type="dxa"/>
            <w:tcBorders>
              <w:top w:val="nil"/>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01.09.2018</w:t>
            </w:r>
          </w:p>
        </w:tc>
        <w:tc>
          <w:tcPr>
            <w:tcW w:w="216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21445,61%</w:t>
            </w:r>
          </w:p>
        </w:tc>
        <w:tc>
          <w:tcPr>
            <w:tcW w:w="2520" w:type="dxa"/>
            <w:tcBorders>
              <w:top w:val="nil"/>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21405,61%</w:t>
            </w:r>
          </w:p>
        </w:tc>
      </w:tr>
      <w:tr w:rsidR="00C435F3" w:rsidRPr="00BA5143" w:rsidTr="00EC240A">
        <w:trPr>
          <w:trHeight w:val="48"/>
        </w:trPr>
        <w:tc>
          <w:tcPr>
            <w:tcW w:w="2170" w:type="dxa"/>
            <w:tcBorders>
              <w:top w:val="nil"/>
              <w:left w:val="single" w:sz="8" w:space="0" w:color="auto"/>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01.10.2018</w:t>
            </w:r>
          </w:p>
        </w:tc>
        <w:tc>
          <w:tcPr>
            <w:tcW w:w="216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10535,99%</w:t>
            </w:r>
          </w:p>
        </w:tc>
        <w:tc>
          <w:tcPr>
            <w:tcW w:w="2520" w:type="dxa"/>
            <w:tcBorders>
              <w:top w:val="nil"/>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10495,99%</w:t>
            </w:r>
          </w:p>
        </w:tc>
      </w:tr>
      <w:tr w:rsidR="00C435F3" w:rsidRPr="00BA5143" w:rsidTr="00EC240A">
        <w:trPr>
          <w:trHeight w:val="48"/>
        </w:trPr>
        <w:tc>
          <w:tcPr>
            <w:tcW w:w="2170" w:type="dxa"/>
            <w:tcBorders>
              <w:top w:val="single" w:sz="4" w:space="0" w:color="auto"/>
              <w:left w:val="single" w:sz="4"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01.11.2018</w:t>
            </w:r>
          </w:p>
        </w:tc>
        <w:tc>
          <w:tcPr>
            <w:tcW w:w="216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9119,69%</w:t>
            </w:r>
          </w:p>
        </w:tc>
        <w:tc>
          <w:tcPr>
            <w:tcW w:w="2520" w:type="dxa"/>
            <w:tcBorders>
              <w:top w:val="single" w:sz="4" w:space="0" w:color="auto"/>
              <w:left w:val="nil"/>
              <w:bottom w:val="single" w:sz="8"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9079,69%</w:t>
            </w:r>
          </w:p>
        </w:tc>
      </w:tr>
      <w:tr w:rsidR="00C435F3" w:rsidRPr="00BA5143" w:rsidTr="00EC240A">
        <w:trPr>
          <w:trHeight w:val="48"/>
        </w:trPr>
        <w:tc>
          <w:tcPr>
            <w:tcW w:w="2170" w:type="dxa"/>
            <w:tcBorders>
              <w:top w:val="single" w:sz="8" w:space="0" w:color="auto"/>
              <w:left w:val="single" w:sz="4" w:space="0" w:color="auto"/>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01.12.2018</w:t>
            </w:r>
          </w:p>
        </w:tc>
        <w:tc>
          <w:tcPr>
            <w:tcW w:w="2160" w:type="dxa"/>
            <w:tcBorders>
              <w:top w:val="single" w:sz="8" w:space="0" w:color="auto"/>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single" w:sz="8" w:space="0" w:color="auto"/>
              <w:left w:val="nil"/>
              <w:bottom w:val="single" w:sz="4"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27306,68%</w:t>
            </w:r>
          </w:p>
        </w:tc>
        <w:tc>
          <w:tcPr>
            <w:tcW w:w="2520" w:type="dxa"/>
            <w:tcBorders>
              <w:top w:val="single" w:sz="8" w:space="0" w:color="auto"/>
              <w:left w:val="nil"/>
              <w:bottom w:val="single" w:sz="4" w:space="0" w:color="auto"/>
              <w:right w:val="single" w:sz="4"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27266,68%</w:t>
            </w:r>
          </w:p>
        </w:tc>
      </w:tr>
      <w:tr w:rsidR="00C435F3" w:rsidRPr="00BA5143" w:rsidTr="00EC240A">
        <w:trPr>
          <w:trHeight w:val="48"/>
        </w:trPr>
        <w:tc>
          <w:tcPr>
            <w:tcW w:w="2170" w:type="dxa"/>
            <w:tcBorders>
              <w:top w:val="single" w:sz="4" w:space="0" w:color="auto"/>
              <w:left w:val="single" w:sz="8" w:space="0" w:color="auto"/>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01.01.2019</w:t>
            </w:r>
          </w:p>
        </w:tc>
        <w:tc>
          <w:tcPr>
            <w:tcW w:w="216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40%</w:t>
            </w:r>
          </w:p>
        </w:tc>
        <w:tc>
          <w:tcPr>
            <w:tcW w:w="252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27961,57%</w:t>
            </w:r>
          </w:p>
        </w:tc>
        <w:tc>
          <w:tcPr>
            <w:tcW w:w="2520" w:type="dxa"/>
            <w:tcBorders>
              <w:top w:val="single" w:sz="4" w:space="0" w:color="auto"/>
              <w:left w:val="nil"/>
              <w:bottom w:val="single" w:sz="8" w:space="0" w:color="auto"/>
              <w:right w:val="single" w:sz="8" w:space="0" w:color="auto"/>
            </w:tcBorders>
            <w:shd w:val="clear" w:color="auto" w:fill="auto"/>
          </w:tcPr>
          <w:p w:rsidR="00C435F3" w:rsidRPr="00BA5143" w:rsidRDefault="00C435F3" w:rsidP="00EC240A">
            <w:pPr>
              <w:jc w:val="center"/>
              <w:rPr>
                <w:bCs/>
                <w:sz w:val="20"/>
                <w:szCs w:val="20"/>
                <w:lang w:val="en-US"/>
              </w:rPr>
            </w:pPr>
            <w:r w:rsidRPr="00BA5143">
              <w:rPr>
                <w:bCs/>
                <w:sz w:val="20"/>
                <w:szCs w:val="20"/>
                <w:lang w:val="en-US"/>
              </w:rPr>
              <w:t>27921,57%</w:t>
            </w:r>
          </w:p>
        </w:tc>
      </w:tr>
    </w:tbl>
    <w:p w:rsidR="00C435F3" w:rsidRPr="00BA5143" w:rsidRDefault="00C435F3" w:rsidP="00C435F3">
      <w:pPr>
        <w:ind w:firstLine="540"/>
        <w:jc w:val="both"/>
        <w:rPr>
          <w:lang w:val="en-US"/>
        </w:rPr>
      </w:pPr>
    </w:p>
    <w:p w:rsidR="00C435F3" w:rsidRPr="00BA5143" w:rsidRDefault="00BC6D7A" w:rsidP="00C435F3">
      <w:pPr>
        <w:ind w:firstLine="540"/>
        <w:jc w:val="both"/>
        <w:rPr>
          <w:lang w:val="en-US"/>
        </w:rPr>
      </w:pPr>
      <w:r w:rsidRPr="00BA5143">
        <w:rPr>
          <w:lang w:val="en-US"/>
        </w:rPr>
        <w:t>Current liabilities within one year by installing the minimum required amount of assets of the Bank to perform the total liabilities of the period, but the actual indicators of short-term liquidity show that during the year the Bank had assets with residual maturity up to 1 year which is also considerably higher than the minimum necessary:</w:t>
      </w:r>
    </w:p>
    <w:p w:rsidR="00C435F3" w:rsidRPr="00BA5143" w:rsidRDefault="00C435F3" w:rsidP="00C435F3">
      <w:pPr>
        <w:ind w:firstLine="540"/>
        <w:jc w:val="both"/>
        <w:rPr>
          <w:lang w:val="en-US"/>
        </w:rPr>
      </w:pPr>
    </w:p>
    <w:tbl>
      <w:tblPr>
        <w:tblW w:w="9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0"/>
        <w:gridCol w:w="2160"/>
        <w:gridCol w:w="2520"/>
        <w:gridCol w:w="2520"/>
      </w:tblGrid>
      <w:tr w:rsidR="008D32D8" w:rsidRPr="00BA5143" w:rsidTr="00EC240A">
        <w:trPr>
          <w:trHeight w:val="653"/>
        </w:trPr>
        <w:tc>
          <w:tcPr>
            <w:tcW w:w="2170" w:type="dxa"/>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By date</w:t>
            </w:r>
          </w:p>
        </w:tc>
        <w:tc>
          <w:tcPr>
            <w:tcW w:w="2160" w:type="dxa"/>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Normative value</w:t>
            </w:r>
          </w:p>
        </w:tc>
        <w:tc>
          <w:tcPr>
            <w:tcW w:w="2520" w:type="dxa"/>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Actual value of the </w:t>
            </w:r>
            <w:r w:rsidR="00C13E4C" w:rsidRPr="00BA5143">
              <w:rPr>
                <w:bCs/>
                <w:sz w:val="20"/>
                <w:szCs w:val="20"/>
                <w:lang w:val="en-US"/>
              </w:rPr>
              <w:t>normative, %</w:t>
            </w:r>
          </w:p>
        </w:tc>
        <w:tc>
          <w:tcPr>
            <w:tcW w:w="2520" w:type="dxa"/>
            <w:shd w:val="clear" w:color="auto" w:fill="auto"/>
            <w:vAlign w:val="center"/>
          </w:tcPr>
          <w:p w:rsidR="008D32D8" w:rsidRPr="00BA5143" w:rsidRDefault="008D32D8" w:rsidP="008D32D8">
            <w:pPr>
              <w:jc w:val="center"/>
              <w:rPr>
                <w:bCs/>
                <w:sz w:val="20"/>
                <w:szCs w:val="20"/>
                <w:lang w:val="en-US"/>
              </w:rPr>
            </w:pPr>
            <w:r w:rsidRPr="00BA5143">
              <w:rPr>
                <w:bCs/>
                <w:sz w:val="20"/>
                <w:szCs w:val="20"/>
                <w:lang w:val="en-US"/>
              </w:rPr>
              <w:t xml:space="preserve">Normative of Performance </w:t>
            </w:r>
            <w:r w:rsidR="00C13E4C" w:rsidRPr="00BA5143">
              <w:rPr>
                <w:bCs/>
                <w:sz w:val="20"/>
                <w:szCs w:val="20"/>
                <w:lang w:val="en-US"/>
              </w:rPr>
              <w:t>reserve, %</w:t>
            </w:r>
          </w:p>
        </w:tc>
      </w:tr>
      <w:tr w:rsidR="00C435F3" w:rsidRPr="00BA5143" w:rsidTr="00EC240A">
        <w:trPr>
          <w:trHeight w:val="1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01.02.2018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5910,48%</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5850,48%</w:t>
            </w:r>
          </w:p>
        </w:tc>
      </w:tr>
      <w:tr w:rsidR="00C435F3" w:rsidRPr="00BA5143" w:rsidTr="00EC240A">
        <w:trPr>
          <w:trHeight w:val="162"/>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01.03.2018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69298,89%</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69238,89%</w:t>
            </w:r>
          </w:p>
        </w:tc>
      </w:tr>
      <w:tr w:rsidR="00C435F3" w:rsidRPr="00BA5143" w:rsidTr="00EC240A">
        <w:trPr>
          <w:trHeight w:val="62"/>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01.04.2018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74611,02%</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74551,02%</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01.05.2018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81239,35%</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81179,35%</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01.06.2018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82328,14%</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82268,14%</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01.07.2018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70631,51%</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70571,51%</w:t>
            </w:r>
          </w:p>
        </w:tc>
      </w:tr>
      <w:tr w:rsidR="00C435F3" w:rsidRPr="00BA5143" w:rsidTr="00EC240A">
        <w:trPr>
          <w:trHeight w:val="50"/>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01.08.2018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34335,21%</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34275,21%</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01.09.2018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20899,06%</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20839,06%</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01.10.2018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10403,00%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10343,00%</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01.11.2018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12462,06%</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12402,06%</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01.12.2018</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26873,67%</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26813,67%</w:t>
            </w:r>
          </w:p>
        </w:tc>
      </w:tr>
      <w:tr w:rsidR="00C435F3" w:rsidRPr="00BA5143" w:rsidTr="00EC240A">
        <w:trPr>
          <w:trHeight w:val="48"/>
        </w:trPr>
        <w:tc>
          <w:tcPr>
            <w:tcW w:w="217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01.01.2019</w:t>
            </w:r>
          </w:p>
        </w:tc>
        <w:tc>
          <w:tcPr>
            <w:tcW w:w="216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60%</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27054,99%</w:t>
            </w:r>
          </w:p>
        </w:tc>
        <w:tc>
          <w:tcPr>
            <w:tcW w:w="2520" w:type="dxa"/>
            <w:shd w:val="clear" w:color="auto" w:fill="auto"/>
          </w:tcPr>
          <w:p w:rsidR="00C435F3" w:rsidRPr="00BA5143" w:rsidRDefault="00C435F3" w:rsidP="00EC240A">
            <w:pPr>
              <w:jc w:val="center"/>
              <w:rPr>
                <w:bCs/>
                <w:sz w:val="20"/>
                <w:szCs w:val="20"/>
                <w:lang w:val="en-US"/>
              </w:rPr>
            </w:pPr>
            <w:r w:rsidRPr="00BA5143">
              <w:rPr>
                <w:bCs/>
                <w:sz w:val="20"/>
                <w:szCs w:val="20"/>
                <w:lang w:val="en-US"/>
              </w:rPr>
              <w:t>26994,99%</w:t>
            </w:r>
          </w:p>
        </w:tc>
      </w:tr>
    </w:tbl>
    <w:p w:rsidR="00C435F3" w:rsidRPr="00BA5143" w:rsidRDefault="00C435F3" w:rsidP="008D32D8">
      <w:pPr>
        <w:rPr>
          <w:color w:val="000000"/>
          <w:lang w:val="en-US"/>
        </w:rPr>
      </w:pPr>
    </w:p>
    <w:p w:rsidR="008D32D8" w:rsidRPr="00BA5143" w:rsidRDefault="008D32D8" w:rsidP="008D32D8">
      <w:pPr>
        <w:pStyle w:val="a4"/>
        <w:spacing w:before="0" w:beforeAutospacing="0" w:after="0" w:afterAutospacing="0"/>
        <w:rPr>
          <w:b/>
          <w:color w:val="000000"/>
          <w:lang w:val="en-US"/>
        </w:rPr>
      </w:pPr>
      <w:proofErr w:type="gramStart"/>
      <w:r w:rsidRPr="00BA5143">
        <w:rPr>
          <w:b/>
          <w:color w:val="000000"/>
          <w:lang w:val="en-US"/>
        </w:rPr>
        <w:t>Table 25.8.</w:t>
      </w:r>
      <w:proofErr w:type="gramEnd"/>
      <w:r w:rsidRPr="00BA5143">
        <w:rPr>
          <w:b/>
          <w:color w:val="000000"/>
          <w:lang w:val="en-US"/>
        </w:rPr>
        <w:t xml:space="preserve"> Analysis of financial liabilities by maturity in 2018 </w:t>
      </w:r>
    </w:p>
    <w:p w:rsidR="008D32D8" w:rsidRPr="00BA5143" w:rsidRDefault="008D32D8" w:rsidP="008D32D8">
      <w:pPr>
        <w:spacing w:line="240" w:lineRule="exact"/>
        <w:ind w:firstLine="567"/>
        <w:jc w:val="right"/>
        <w:rPr>
          <w:lang w:val="en-US"/>
        </w:rPr>
      </w:pPr>
      <w:r w:rsidRPr="00BA5143">
        <w:rPr>
          <w:lang w:val="en-US"/>
        </w:rPr>
        <w:t>(ths. UAH.)</w:t>
      </w:r>
    </w:p>
    <w:tbl>
      <w:tblPr>
        <w:tblW w:w="9815" w:type="dxa"/>
        <w:tblInd w:w="93" w:type="dxa"/>
        <w:tblLook w:val="04A0"/>
      </w:tblPr>
      <w:tblGrid>
        <w:gridCol w:w="960"/>
        <w:gridCol w:w="2655"/>
        <w:gridCol w:w="1000"/>
        <w:gridCol w:w="1060"/>
        <w:gridCol w:w="960"/>
        <w:gridCol w:w="1060"/>
        <w:gridCol w:w="1060"/>
        <w:gridCol w:w="1060"/>
      </w:tblGrid>
      <w:tr w:rsidR="008D32D8" w:rsidRPr="00BA5143" w:rsidTr="008D32D8">
        <w:trPr>
          <w:trHeight w:val="765"/>
        </w:trPr>
        <w:tc>
          <w:tcPr>
            <w:tcW w:w="960" w:type="dxa"/>
            <w:tcBorders>
              <w:top w:val="single" w:sz="8" w:space="0" w:color="auto"/>
              <w:left w:val="single" w:sz="8" w:space="0" w:color="auto"/>
              <w:bottom w:val="single" w:sz="4" w:space="0" w:color="000000"/>
              <w:right w:val="single" w:sz="4" w:space="0" w:color="000000"/>
            </w:tcBorders>
            <w:vAlign w:val="bottom"/>
            <w:hideMark/>
          </w:tcPr>
          <w:p w:rsidR="008D32D8" w:rsidRPr="00BA5143" w:rsidRDefault="008D32D8">
            <w:pPr>
              <w:jc w:val="center"/>
              <w:rPr>
                <w:sz w:val="20"/>
                <w:szCs w:val="20"/>
                <w:lang w:val="en-US"/>
              </w:rPr>
            </w:pPr>
            <w:r w:rsidRPr="00BA5143">
              <w:rPr>
                <w:sz w:val="20"/>
                <w:szCs w:val="20"/>
                <w:lang w:val="en-US"/>
              </w:rPr>
              <w:t>Line </w:t>
            </w:r>
          </w:p>
        </w:tc>
        <w:tc>
          <w:tcPr>
            <w:tcW w:w="2655" w:type="dxa"/>
            <w:tcBorders>
              <w:top w:val="single" w:sz="8" w:space="0" w:color="auto"/>
              <w:left w:val="nil"/>
              <w:bottom w:val="single" w:sz="4" w:space="0" w:color="000000"/>
              <w:right w:val="single" w:sz="4" w:space="0" w:color="000000"/>
            </w:tcBorders>
            <w:vAlign w:val="center"/>
            <w:hideMark/>
          </w:tcPr>
          <w:p w:rsidR="008D32D8" w:rsidRPr="00BA5143" w:rsidRDefault="008D32D8" w:rsidP="008D32D8">
            <w:pPr>
              <w:jc w:val="center"/>
              <w:rPr>
                <w:sz w:val="20"/>
                <w:szCs w:val="20"/>
                <w:lang w:val="en-US"/>
              </w:rPr>
            </w:pPr>
            <w:r w:rsidRPr="00BA5143">
              <w:rPr>
                <w:sz w:val="20"/>
                <w:szCs w:val="20"/>
                <w:lang w:val="en-US"/>
              </w:rPr>
              <w:t>Item</w:t>
            </w:r>
          </w:p>
        </w:tc>
        <w:tc>
          <w:tcPr>
            <w:tcW w:w="100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On demand and less than 1 month.</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From 1 to 3 months.</w:t>
            </w:r>
          </w:p>
        </w:tc>
        <w:tc>
          <w:tcPr>
            <w:tcW w:w="960" w:type="dxa"/>
            <w:tcBorders>
              <w:top w:val="single" w:sz="8" w:space="0" w:color="auto"/>
              <w:left w:val="nil"/>
              <w:bottom w:val="single" w:sz="4" w:space="0" w:color="000000"/>
              <w:right w:val="single" w:sz="4" w:space="0" w:color="000000"/>
            </w:tcBorders>
            <w:vAlign w:val="center"/>
            <w:hideMark/>
          </w:tcPr>
          <w:p w:rsidR="008D32D8" w:rsidRPr="00BA5143" w:rsidRDefault="008D32D8">
            <w:pPr>
              <w:rPr>
                <w:sz w:val="20"/>
                <w:szCs w:val="20"/>
                <w:lang w:val="en-US"/>
              </w:rPr>
            </w:pPr>
            <w:r w:rsidRPr="00BA5143">
              <w:rPr>
                <w:sz w:val="20"/>
                <w:szCs w:val="20"/>
                <w:lang w:val="en-US"/>
              </w:rPr>
              <w:t>From 3 to 12 months.</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From 12 months up to 5 years old</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More than 5 years</w:t>
            </w:r>
          </w:p>
        </w:tc>
        <w:tc>
          <w:tcPr>
            <w:tcW w:w="1060" w:type="dxa"/>
            <w:tcBorders>
              <w:top w:val="single" w:sz="8" w:space="0" w:color="auto"/>
              <w:left w:val="nil"/>
              <w:bottom w:val="single" w:sz="4" w:space="0" w:color="000000"/>
              <w:right w:val="single" w:sz="8" w:space="0" w:color="auto"/>
            </w:tcBorders>
            <w:vAlign w:val="center"/>
          </w:tcPr>
          <w:p w:rsidR="008D32D8" w:rsidRPr="00BA5143" w:rsidRDefault="008D32D8">
            <w:pPr>
              <w:rPr>
                <w:sz w:val="20"/>
                <w:szCs w:val="20"/>
                <w:lang w:val="en-US"/>
              </w:rPr>
            </w:pPr>
            <w:r w:rsidRPr="00BA5143">
              <w:rPr>
                <w:sz w:val="20"/>
                <w:szCs w:val="20"/>
                <w:lang w:val="en-US"/>
              </w:rPr>
              <w:t xml:space="preserve">Total </w:t>
            </w:r>
          </w:p>
          <w:p w:rsidR="008D32D8" w:rsidRPr="00BA5143" w:rsidRDefault="008D32D8">
            <w:pPr>
              <w:rPr>
                <w:sz w:val="20"/>
                <w:szCs w:val="20"/>
                <w:lang w:val="en-US"/>
              </w:rPr>
            </w:pP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1 </w:t>
            </w:r>
          </w:p>
        </w:tc>
        <w:tc>
          <w:tcPr>
            <w:tcW w:w="2655"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2 </w:t>
            </w:r>
          </w:p>
        </w:tc>
        <w:tc>
          <w:tcPr>
            <w:tcW w:w="100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3 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4 </w:t>
            </w:r>
          </w:p>
        </w:tc>
        <w:tc>
          <w:tcPr>
            <w:tcW w:w="9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5 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6 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7 </w:t>
            </w:r>
          </w:p>
        </w:tc>
        <w:tc>
          <w:tcPr>
            <w:tcW w:w="1060" w:type="dxa"/>
            <w:tcBorders>
              <w:top w:val="nil"/>
              <w:left w:val="nil"/>
              <w:bottom w:val="single" w:sz="4" w:space="0" w:color="000000"/>
              <w:right w:val="single" w:sz="8" w:space="0" w:color="auto"/>
            </w:tcBorders>
            <w:vAlign w:val="center"/>
            <w:hideMark/>
          </w:tcPr>
          <w:p w:rsidR="008D32D8" w:rsidRPr="00BA5143" w:rsidRDefault="008D32D8">
            <w:pPr>
              <w:jc w:val="center"/>
              <w:rPr>
                <w:sz w:val="20"/>
                <w:szCs w:val="20"/>
                <w:lang w:val="en-US"/>
              </w:rPr>
            </w:pPr>
            <w:r w:rsidRPr="00BA5143">
              <w:rPr>
                <w:sz w:val="20"/>
                <w:szCs w:val="20"/>
                <w:lang w:val="en-US"/>
              </w:rPr>
              <w:t>8 </w:t>
            </w: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1</w:t>
            </w:r>
          </w:p>
        </w:tc>
        <w:tc>
          <w:tcPr>
            <w:tcW w:w="2655" w:type="dxa"/>
            <w:tcBorders>
              <w:top w:val="nil"/>
              <w:left w:val="nil"/>
              <w:bottom w:val="single" w:sz="4" w:space="0" w:color="000000"/>
              <w:right w:val="single" w:sz="4" w:space="0" w:color="000000"/>
            </w:tcBorders>
            <w:hideMark/>
          </w:tcPr>
          <w:p w:rsidR="008D32D8" w:rsidRPr="00BA5143" w:rsidRDefault="008D32D8">
            <w:pPr>
              <w:rPr>
                <w:sz w:val="20"/>
                <w:szCs w:val="20"/>
                <w:lang w:val="en-US"/>
              </w:rPr>
            </w:pPr>
            <w:r w:rsidRPr="00BA5143">
              <w:rPr>
                <w:sz w:val="20"/>
                <w:szCs w:val="20"/>
                <w:lang w:val="en-US"/>
              </w:rPr>
              <w:t>Customers fund</w:t>
            </w:r>
          </w:p>
        </w:tc>
        <w:tc>
          <w:tcPr>
            <w:tcW w:w="1000" w:type="dxa"/>
            <w:tcBorders>
              <w:top w:val="single" w:sz="4" w:space="0" w:color="auto"/>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597</w:t>
            </w:r>
          </w:p>
        </w:tc>
        <w:tc>
          <w:tcPr>
            <w:tcW w:w="1060"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960"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1060"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617</w:t>
            </w: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2</w:t>
            </w:r>
          </w:p>
        </w:tc>
        <w:tc>
          <w:tcPr>
            <w:tcW w:w="2655" w:type="dxa"/>
            <w:tcBorders>
              <w:top w:val="nil"/>
              <w:left w:val="nil"/>
              <w:bottom w:val="single" w:sz="4" w:space="0" w:color="000000"/>
              <w:right w:val="single" w:sz="4" w:space="0" w:color="000000"/>
            </w:tcBorders>
            <w:hideMark/>
          </w:tcPr>
          <w:p w:rsidR="008D32D8" w:rsidRPr="00BA5143" w:rsidRDefault="008D32D8">
            <w:pPr>
              <w:rPr>
                <w:sz w:val="20"/>
                <w:szCs w:val="20"/>
                <w:lang w:val="en-US"/>
              </w:rPr>
            </w:pPr>
            <w:r w:rsidRPr="00BA5143">
              <w:rPr>
                <w:sz w:val="20"/>
                <w:szCs w:val="20"/>
                <w:lang w:val="en-US"/>
              </w:rPr>
              <w:t>Subordinated debt</w:t>
            </w:r>
          </w:p>
        </w:tc>
        <w:tc>
          <w:tcPr>
            <w:tcW w:w="1000"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163</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32 591</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32 754</w:t>
            </w:r>
          </w:p>
        </w:tc>
      </w:tr>
      <w:tr w:rsidR="008D32D8" w:rsidRPr="00BA5143" w:rsidTr="008D32D8">
        <w:trPr>
          <w:trHeight w:val="255"/>
        </w:trPr>
        <w:tc>
          <w:tcPr>
            <w:tcW w:w="960" w:type="dxa"/>
            <w:tcBorders>
              <w:top w:val="nil"/>
              <w:left w:val="single" w:sz="8" w:space="0" w:color="auto"/>
              <w:bottom w:val="single" w:sz="4" w:space="0" w:color="auto"/>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3</w:t>
            </w:r>
          </w:p>
        </w:tc>
        <w:tc>
          <w:tcPr>
            <w:tcW w:w="2655" w:type="dxa"/>
            <w:tcBorders>
              <w:top w:val="nil"/>
              <w:left w:val="nil"/>
              <w:bottom w:val="single" w:sz="4" w:space="0" w:color="auto"/>
              <w:right w:val="single" w:sz="4" w:space="0" w:color="000000"/>
            </w:tcBorders>
            <w:hideMark/>
          </w:tcPr>
          <w:p w:rsidR="008D32D8" w:rsidRPr="00BA5143" w:rsidRDefault="008D32D8">
            <w:pPr>
              <w:rPr>
                <w:sz w:val="20"/>
                <w:szCs w:val="20"/>
                <w:lang w:val="en-US"/>
              </w:rPr>
            </w:pPr>
            <w:r w:rsidRPr="00BA5143">
              <w:rPr>
                <w:sz w:val="20"/>
                <w:szCs w:val="20"/>
                <w:lang w:val="en-US"/>
              </w:rPr>
              <w:t>Other obligations</w:t>
            </w:r>
          </w:p>
        </w:tc>
        <w:tc>
          <w:tcPr>
            <w:tcW w:w="1000"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w:t>
            </w:r>
          </w:p>
        </w:tc>
      </w:tr>
      <w:tr w:rsidR="008D32D8" w:rsidRPr="00BA5143" w:rsidTr="008D32D8">
        <w:trPr>
          <w:trHeight w:val="780"/>
        </w:trPr>
        <w:tc>
          <w:tcPr>
            <w:tcW w:w="960" w:type="dxa"/>
            <w:tcBorders>
              <w:top w:val="single" w:sz="4" w:space="0" w:color="auto"/>
              <w:left w:val="single" w:sz="4" w:space="0" w:color="auto"/>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4</w:t>
            </w:r>
          </w:p>
        </w:tc>
        <w:tc>
          <w:tcPr>
            <w:tcW w:w="2655" w:type="dxa"/>
            <w:tcBorders>
              <w:top w:val="single" w:sz="4" w:space="0" w:color="auto"/>
              <w:left w:val="single" w:sz="4" w:space="0" w:color="auto"/>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Total potential future payouts on financial liabilities</w:t>
            </w:r>
          </w:p>
        </w:tc>
        <w:tc>
          <w:tcPr>
            <w:tcW w:w="1000"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764</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9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32 591</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33 375</w:t>
            </w:r>
          </w:p>
        </w:tc>
      </w:tr>
    </w:tbl>
    <w:p w:rsidR="00C435F3" w:rsidRPr="00BA5143" w:rsidRDefault="00C435F3" w:rsidP="00C435F3">
      <w:pPr>
        <w:spacing w:line="240" w:lineRule="exact"/>
        <w:jc w:val="both"/>
        <w:rPr>
          <w:b/>
          <w:color w:val="000000"/>
          <w:lang w:val="en-US"/>
        </w:rPr>
      </w:pPr>
    </w:p>
    <w:p w:rsidR="008B0277" w:rsidRPr="00BA5143" w:rsidRDefault="008B0277" w:rsidP="00A24424">
      <w:pPr>
        <w:spacing w:line="240" w:lineRule="exact"/>
        <w:jc w:val="both"/>
        <w:rPr>
          <w:b/>
          <w:color w:val="000000"/>
          <w:lang w:val="en-US"/>
        </w:rPr>
      </w:pPr>
    </w:p>
    <w:p w:rsidR="008D32D8" w:rsidRPr="00BA5143" w:rsidRDefault="008D32D8" w:rsidP="008D32D8">
      <w:pPr>
        <w:pStyle w:val="a4"/>
        <w:spacing w:before="0" w:beforeAutospacing="0" w:after="0" w:afterAutospacing="0"/>
        <w:rPr>
          <w:b/>
          <w:color w:val="000000"/>
          <w:lang w:val="en-US"/>
        </w:rPr>
      </w:pPr>
      <w:r w:rsidRPr="00BA5143">
        <w:rPr>
          <w:b/>
          <w:color w:val="000000"/>
          <w:lang w:val="en-US"/>
        </w:rPr>
        <w:t>Table 25.9. Analysis of financial liabilities by maturity in 2017</w:t>
      </w:r>
    </w:p>
    <w:p w:rsidR="008D32D8" w:rsidRPr="00BA5143" w:rsidRDefault="008D32D8" w:rsidP="008D32D8">
      <w:pPr>
        <w:spacing w:line="240" w:lineRule="exact"/>
        <w:ind w:firstLine="567"/>
        <w:jc w:val="right"/>
        <w:rPr>
          <w:lang w:val="en-US"/>
        </w:rPr>
      </w:pPr>
      <w:r w:rsidRPr="00BA5143">
        <w:rPr>
          <w:lang w:val="en-US"/>
        </w:rPr>
        <w:t>(ths. UAH.)</w:t>
      </w:r>
    </w:p>
    <w:tbl>
      <w:tblPr>
        <w:tblW w:w="9815" w:type="dxa"/>
        <w:tblInd w:w="93" w:type="dxa"/>
        <w:tblLook w:val="04A0"/>
      </w:tblPr>
      <w:tblGrid>
        <w:gridCol w:w="960"/>
        <w:gridCol w:w="2655"/>
        <w:gridCol w:w="1000"/>
        <w:gridCol w:w="1060"/>
        <w:gridCol w:w="960"/>
        <w:gridCol w:w="1060"/>
        <w:gridCol w:w="1060"/>
        <w:gridCol w:w="1060"/>
      </w:tblGrid>
      <w:tr w:rsidR="008D32D8" w:rsidRPr="00BA5143" w:rsidTr="008D32D8">
        <w:trPr>
          <w:trHeight w:val="765"/>
        </w:trPr>
        <w:tc>
          <w:tcPr>
            <w:tcW w:w="960" w:type="dxa"/>
            <w:tcBorders>
              <w:top w:val="single" w:sz="8" w:space="0" w:color="auto"/>
              <w:left w:val="single" w:sz="8" w:space="0" w:color="auto"/>
              <w:bottom w:val="single" w:sz="4" w:space="0" w:color="000000"/>
              <w:right w:val="single" w:sz="4" w:space="0" w:color="000000"/>
            </w:tcBorders>
            <w:vAlign w:val="bottom"/>
            <w:hideMark/>
          </w:tcPr>
          <w:p w:rsidR="008D32D8" w:rsidRPr="00BA5143" w:rsidRDefault="008D32D8">
            <w:pPr>
              <w:jc w:val="center"/>
              <w:rPr>
                <w:sz w:val="20"/>
                <w:szCs w:val="20"/>
                <w:lang w:val="en-US"/>
              </w:rPr>
            </w:pPr>
            <w:r w:rsidRPr="00BA5143">
              <w:rPr>
                <w:sz w:val="20"/>
                <w:szCs w:val="20"/>
                <w:lang w:val="en-US"/>
              </w:rPr>
              <w:t>Line </w:t>
            </w:r>
          </w:p>
        </w:tc>
        <w:tc>
          <w:tcPr>
            <w:tcW w:w="2655" w:type="dxa"/>
            <w:tcBorders>
              <w:top w:val="single" w:sz="8" w:space="0" w:color="auto"/>
              <w:left w:val="nil"/>
              <w:bottom w:val="single" w:sz="4" w:space="0" w:color="000000"/>
              <w:right w:val="single" w:sz="4" w:space="0" w:color="000000"/>
            </w:tcBorders>
            <w:vAlign w:val="center"/>
            <w:hideMark/>
          </w:tcPr>
          <w:p w:rsidR="008D32D8" w:rsidRPr="00BA5143" w:rsidRDefault="00CD74BA" w:rsidP="00CD74BA">
            <w:pPr>
              <w:jc w:val="center"/>
              <w:rPr>
                <w:sz w:val="20"/>
                <w:szCs w:val="20"/>
                <w:lang w:val="en-US"/>
              </w:rPr>
            </w:pPr>
            <w:r w:rsidRPr="00BA5143">
              <w:rPr>
                <w:sz w:val="20"/>
                <w:szCs w:val="20"/>
                <w:lang w:val="en-US"/>
              </w:rPr>
              <w:t>Item</w:t>
            </w:r>
          </w:p>
        </w:tc>
        <w:tc>
          <w:tcPr>
            <w:tcW w:w="100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On demand and less than 1 month.</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From 1 to 3 months.</w:t>
            </w:r>
          </w:p>
        </w:tc>
        <w:tc>
          <w:tcPr>
            <w:tcW w:w="960" w:type="dxa"/>
            <w:tcBorders>
              <w:top w:val="single" w:sz="8" w:space="0" w:color="auto"/>
              <w:left w:val="nil"/>
              <w:bottom w:val="single" w:sz="4" w:space="0" w:color="000000"/>
              <w:right w:val="single" w:sz="4" w:space="0" w:color="000000"/>
            </w:tcBorders>
            <w:vAlign w:val="center"/>
            <w:hideMark/>
          </w:tcPr>
          <w:p w:rsidR="008D32D8" w:rsidRPr="00BA5143" w:rsidRDefault="008D32D8">
            <w:pPr>
              <w:rPr>
                <w:sz w:val="20"/>
                <w:szCs w:val="20"/>
                <w:lang w:val="en-US"/>
              </w:rPr>
            </w:pPr>
            <w:r w:rsidRPr="00BA5143">
              <w:rPr>
                <w:sz w:val="20"/>
                <w:szCs w:val="20"/>
                <w:lang w:val="en-US"/>
              </w:rPr>
              <w:t>From 3 to 12 months.</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From 12 months up to 5 years old</w:t>
            </w:r>
          </w:p>
        </w:tc>
        <w:tc>
          <w:tcPr>
            <w:tcW w:w="1060" w:type="dxa"/>
            <w:tcBorders>
              <w:top w:val="single" w:sz="8" w:space="0" w:color="auto"/>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More than 5 years</w:t>
            </w:r>
          </w:p>
        </w:tc>
        <w:tc>
          <w:tcPr>
            <w:tcW w:w="1060" w:type="dxa"/>
            <w:tcBorders>
              <w:top w:val="single" w:sz="8" w:space="0" w:color="auto"/>
              <w:left w:val="nil"/>
              <w:bottom w:val="single" w:sz="4" w:space="0" w:color="000000"/>
              <w:right w:val="single" w:sz="8" w:space="0" w:color="auto"/>
            </w:tcBorders>
            <w:vAlign w:val="center"/>
          </w:tcPr>
          <w:p w:rsidR="008D32D8" w:rsidRPr="00BA5143" w:rsidRDefault="008D32D8">
            <w:pPr>
              <w:rPr>
                <w:sz w:val="20"/>
                <w:szCs w:val="20"/>
                <w:lang w:val="en-US"/>
              </w:rPr>
            </w:pPr>
            <w:r w:rsidRPr="00BA5143">
              <w:rPr>
                <w:sz w:val="20"/>
                <w:szCs w:val="20"/>
                <w:lang w:val="en-US"/>
              </w:rPr>
              <w:t xml:space="preserve">Total </w:t>
            </w:r>
          </w:p>
          <w:p w:rsidR="008D32D8" w:rsidRPr="00BA5143" w:rsidRDefault="008D32D8">
            <w:pPr>
              <w:rPr>
                <w:sz w:val="20"/>
                <w:szCs w:val="20"/>
                <w:lang w:val="en-US"/>
              </w:rPr>
            </w:pP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1 </w:t>
            </w:r>
          </w:p>
        </w:tc>
        <w:tc>
          <w:tcPr>
            <w:tcW w:w="2655"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2 </w:t>
            </w:r>
          </w:p>
        </w:tc>
        <w:tc>
          <w:tcPr>
            <w:tcW w:w="100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3 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4 </w:t>
            </w:r>
          </w:p>
        </w:tc>
        <w:tc>
          <w:tcPr>
            <w:tcW w:w="9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5 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6 </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7 </w:t>
            </w:r>
          </w:p>
        </w:tc>
        <w:tc>
          <w:tcPr>
            <w:tcW w:w="1060" w:type="dxa"/>
            <w:tcBorders>
              <w:top w:val="nil"/>
              <w:left w:val="nil"/>
              <w:bottom w:val="single" w:sz="4" w:space="0" w:color="000000"/>
              <w:right w:val="single" w:sz="8" w:space="0" w:color="auto"/>
            </w:tcBorders>
            <w:vAlign w:val="center"/>
            <w:hideMark/>
          </w:tcPr>
          <w:p w:rsidR="008D32D8" w:rsidRPr="00BA5143" w:rsidRDefault="008D32D8">
            <w:pPr>
              <w:jc w:val="center"/>
              <w:rPr>
                <w:sz w:val="20"/>
                <w:szCs w:val="20"/>
                <w:lang w:val="en-US"/>
              </w:rPr>
            </w:pPr>
            <w:r w:rsidRPr="00BA5143">
              <w:rPr>
                <w:sz w:val="20"/>
                <w:szCs w:val="20"/>
                <w:lang w:val="en-US"/>
              </w:rPr>
              <w:t>8 </w:t>
            </w: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1</w:t>
            </w:r>
          </w:p>
        </w:tc>
        <w:tc>
          <w:tcPr>
            <w:tcW w:w="2655" w:type="dxa"/>
            <w:tcBorders>
              <w:top w:val="nil"/>
              <w:left w:val="nil"/>
              <w:bottom w:val="single" w:sz="4" w:space="0" w:color="000000"/>
              <w:right w:val="single" w:sz="4" w:space="0" w:color="000000"/>
            </w:tcBorders>
            <w:hideMark/>
          </w:tcPr>
          <w:p w:rsidR="008D32D8" w:rsidRPr="00BA5143" w:rsidRDefault="00CD74BA">
            <w:pPr>
              <w:rPr>
                <w:sz w:val="20"/>
                <w:szCs w:val="20"/>
                <w:lang w:val="en-US"/>
              </w:rPr>
            </w:pPr>
            <w:r w:rsidRPr="00BA5143">
              <w:rPr>
                <w:sz w:val="20"/>
                <w:szCs w:val="20"/>
                <w:lang w:val="en-US"/>
              </w:rPr>
              <w:t>Customers fund</w:t>
            </w:r>
            <w:r w:rsidR="008D32D8" w:rsidRPr="00BA5143">
              <w:rPr>
                <w:sz w:val="20"/>
                <w:szCs w:val="20"/>
                <w:lang w:val="en-US"/>
              </w:rPr>
              <w:t>:</w:t>
            </w:r>
          </w:p>
        </w:tc>
        <w:tc>
          <w:tcPr>
            <w:tcW w:w="100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2 544</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9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000000"/>
              <w:right w:val="single" w:sz="8" w:space="0" w:color="auto"/>
            </w:tcBorders>
            <w:vAlign w:val="center"/>
            <w:hideMark/>
          </w:tcPr>
          <w:p w:rsidR="008D32D8" w:rsidRPr="00BA5143" w:rsidRDefault="008D32D8">
            <w:pPr>
              <w:jc w:val="right"/>
              <w:rPr>
                <w:sz w:val="20"/>
                <w:szCs w:val="20"/>
                <w:lang w:val="en-US"/>
              </w:rPr>
            </w:pPr>
            <w:r w:rsidRPr="00BA5143">
              <w:rPr>
                <w:sz w:val="20"/>
                <w:szCs w:val="20"/>
                <w:lang w:val="en-US"/>
              </w:rPr>
              <w:t>2 544</w:t>
            </w:r>
          </w:p>
        </w:tc>
      </w:tr>
      <w:tr w:rsidR="008D32D8" w:rsidRPr="00BA5143" w:rsidTr="008D32D8">
        <w:trPr>
          <w:trHeight w:val="255"/>
        </w:trPr>
        <w:tc>
          <w:tcPr>
            <w:tcW w:w="960" w:type="dxa"/>
            <w:tcBorders>
              <w:top w:val="nil"/>
              <w:left w:val="single" w:sz="8" w:space="0" w:color="auto"/>
              <w:bottom w:val="single" w:sz="4" w:space="0" w:color="000000"/>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2</w:t>
            </w:r>
          </w:p>
        </w:tc>
        <w:tc>
          <w:tcPr>
            <w:tcW w:w="2655" w:type="dxa"/>
            <w:tcBorders>
              <w:top w:val="nil"/>
              <w:left w:val="nil"/>
              <w:bottom w:val="single" w:sz="4" w:space="0" w:color="000000"/>
              <w:right w:val="single" w:sz="4" w:space="0" w:color="000000"/>
            </w:tcBorders>
            <w:hideMark/>
          </w:tcPr>
          <w:p w:rsidR="008D32D8" w:rsidRPr="00BA5143" w:rsidRDefault="008D32D8">
            <w:pPr>
              <w:rPr>
                <w:sz w:val="20"/>
                <w:szCs w:val="20"/>
                <w:lang w:val="en-US"/>
              </w:rPr>
            </w:pPr>
            <w:r w:rsidRPr="00BA5143">
              <w:rPr>
                <w:sz w:val="20"/>
                <w:szCs w:val="20"/>
                <w:lang w:val="en-US"/>
              </w:rPr>
              <w:t>Subordinated debt</w:t>
            </w:r>
          </w:p>
        </w:tc>
        <w:tc>
          <w:tcPr>
            <w:tcW w:w="100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163</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9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23 133</w:t>
            </w:r>
          </w:p>
        </w:tc>
        <w:tc>
          <w:tcPr>
            <w:tcW w:w="1060" w:type="dxa"/>
            <w:tcBorders>
              <w:top w:val="nil"/>
              <w:left w:val="nil"/>
              <w:bottom w:val="single" w:sz="4" w:space="0" w:color="000000"/>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4" w:space="0" w:color="000000"/>
              <w:right w:val="single" w:sz="8" w:space="0" w:color="auto"/>
            </w:tcBorders>
            <w:vAlign w:val="center"/>
            <w:hideMark/>
          </w:tcPr>
          <w:p w:rsidR="008D32D8" w:rsidRPr="00BA5143" w:rsidRDefault="008D32D8">
            <w:pPr>
              <w:jc w:val="right"/>
              <w:rPr>
                <w:sz w:val="20"/>
                <w:szCs w:val="20"/>
                <w:lang w:val="en-US"/>
              </w:rPr>
            </w:pPr>
            <w:r w:rsidRPr="00BA5143">
              <w:rPr>
                <w:sz w:val="20"/>
                <w:szCs w:val="20"/>
                <w:lang w:val="en-US"/>
              </w:rPr>
              <w:t>23 296</w:t>
            </w:r>
          </w:p>
        </w:tc>
      </w:tr>
      <w:tr w:rsidR="008D32D8" w:rsidRPr="00BA5143" w:rsidTr="008D32D8">
        <w:trPr>
          <w:trHeight w:val="780"/>
        </w:trPr>
        <w:tc>
          <w:tcPr>
            <w:tcW w:w="960" w:type="dxa"/>
            <w:tcBorders>
              <w:top w:val="nil"/>
              <w:left w:val="single" w:sz="8" w:space="0" w:color="auto"/>
              <w:bottom w:val="single" w:sz="8" w:space="0" w:color="auto"/>
              <w:right w:val="single" w:sz="4" w:space="0" w:color="000000"/>
            </w:tcBorders>
            <w:vAlign w:val="center"/>
            <w:hideMark/>
          </w:tcPr>
          <w:p w:rsidR="008D32D8" w:rsidRPr="00BA5143" w:rsidRDefault="008D32D8">
            <w:pPr>
              <w:jc w:val="center"/>
              <w:rPr>
                <w:sz w:val="20"/>
                <w:szCs w:val="20"/>
                <w:lang w:val="en-US"/>
              </w:rPr>
            </w:pPr>
            <w:r w:rsidRPr="00BA5143">
              <w:rPr>
                <w:sz w:val="20"/>
                <w:szCs w:val="20"/>
                <w:lang w:val="en-US"/>
              </w:rPr>
              <w:t>3</w:t>
            </w:r>
          </w:p>
        </w:tc>
        <w:tc>
          <w:tcPr>
            <w:tcW w:w="2655" w:type="dxa"/>
            <w:tcBorders>
              <w:top w:val="nil"/>
              <w:left w:val="nil"/>
              <w:bottom w:val="single" w:sz="8" w:space="0" w:color="auto"/>
              <w:right w:val="single" w:sz="4" w:space="0" w:color="000000"/>
            </w:tcBorders>
            <w:hideMark/>
          </w:tcPr>
          <w:p w:rsidR="008D32D8" w:rsidRPr="00BA5143" w:rsidRDefault="008D32D8">
            <w:pPr>
              <w:rPr>
                <w:sz w:val="20"/>
                <w:szCs w:val="20"/>
                <w:lang w:val="en-US"/>
              </w:rPr>
            </w:pPr>
            <w:r w:rsidRPr="00BA5143">
              <w:rPr>
                <w:sz w:val="20"/>
                <w:szCs w:val="20"/>
                <w:lang w:val="en-US"/>
              </w:rPr>
              <w:t>Total potential future payouts on financial liabilities</w:t>
            </w:r>
          </w:p>
        </w:tc>
        <w:tc>
          <w:tcPr>
            <w:tcW w:w="100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2 707</w:t>
            </w:r>
          </w:p>
        </w:tc>
        <w:tc>
          <w:tcPr>
            <w:tcW w:w="106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96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23 133</w:t>
            </w:r>
          </w:p>
        </w:tc>
        <w:tc>
          <w:tcPr>
            <w:tcW w:w="106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60" w:type="dxa"/>
            <w:tcBorders>
              <w:top w:val="nil"/>
              <w:left w:val="nil"/>
              <w:bottom w:val="single" w:sz="8" w:space="0" w:color="auto"/>
              <w:right w:val="single" w:sz="4" w:space="0" w:color="000000"/>
            </w:tcBorders>
            <w:vAlign w:val="center"/>
            <w:hideMark/>
          </w:tcPr>
          <w:p w:rsidR="008D32D8" w:rsidRPr="00BA5143" w:rsidRDefault="008D32D8">
            <w:pPr>
              <w:jc w:val="right"/>
              <w:rPr>
                <w:sz w:val="20"/>
                <w:szCs w:val="20"/>
                <w:lang w:val="en-US"/>
              </w:rPr>
            </w:pPr>
            <w:r w:rsidRPr="00BA5143">
              <w:rPr>
                <w:sz w:val="20"/>
                <w:szCs w:val="20"/>
                <w:lang w:val="en-US"/>
              </w:rPr>
              <w:t>25 840</w:t>
            </w:r>
          </w:p>
        </w:tc>
      </w:tr>
    </w:tbl>
    <w:p w:rsidR="00C435F3" w:rsidRPr="00BA5143" w:rsidRDefault="00C435F3" w:rsidP="00C435F3">
      <w:pPr>
        <w:spacing w:line="240" w:lineRule="exact"/>
        <w:jc w:val="both"/>
        <w:rPr>
          <w:b/>
          <w:color w:val="000000"/>
          <w:lang w:val="en-US"/>
        </w:rPr>
      </w:pPr>
    </w:p>
    <w:p w:rsidR="008D32D8" w:rsidRPr="00BA5143" w:rsidRDefault="008D32D8" w:rsidP="008D32D8">
      <w:pPr>
        <w:spacing w:line="240" w:lineRule="exact"/>
        <w:rPr>
          <w:b/>
          <w:color w:val="000000"/>
          <w:lang w:val="en-US"/>
        </w:rPr>
      </w:pPr>
      <w:r w:rsidRPr="00BA5143">
        <w:rPr>
          <w:b/>
          <w:color w:val="000000"/>
          <w:lang w:val="en-US"/>
        </w:rPr>
        <w:t xml:space="preserve">Table 25.10. Analysis of financial assets and liabilities by maturity based on expected maturities in 2018 </w:t>
      </w:r>
    </w:p>
    <w:p w:rsidR="008D32D8" w:rsidRPr="00BA5143" w:rsidRDefault="008D32D8" w:rsidP="008D32D8">
      <w:pPr>
        <w:spacing w:line="240" w:lineRule="exact"/>
        <w:ind w:firstLine="567"/>
        <w:jc w:val="right"/>
        <w:rPr>
          <w:lang w:val="en-US"/>
        </w:rPr>
      </w:pPr>
      <w:r w:rsidRPr="00BA5143">
        <w:rPr>
          <w:lang w:val="en-US"/>
        </w:rPr>
        <w:t>(ths. UAH.)</w:t>
      </w:r>
    </w:p>
    <w:tbl>
      <w:tblPr>
        <w:tblW w:w="9815" w:type="dxa"/>
        <w:tblInd w:w="93" w:type="dxa"/>
        <w:tblLook w:val="04A0"/>
      </w:tblPr>
      <w:tblGrid>
        <w:gridCol w:w="769"/>
        <w:gridCol w:w="2858"/>
        <w:gridCol w:w="999"/>
        <w:gridCol w:w="1057"/>
        <w:gridCol w:w="957"/>
        <w:gridCol w:w="1058"/>
        <w:gridCol w:w="1058"/>
        <w:gridCol w:w="1059"/>
      </w:tblGrid>
      <w:tr w:rsidR="008D32D8" w:rsidRPr="00BA5143" w:rsidTr="008D32D8">
        <w:trPr>
          <w:trHeight w:val="765"/>
        </w:trPr>
        <w:tc>
          <w:tcPr>
            <w:tcW w:w="769" w:type="dxa"/>
            <w:tcBorders>
              <w:top w:val="single" w:sz="8" w:space="0" w:color="auto"/>
              <w:left w:val="single" w:sz="8"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Line </w:t>
            </w:r>
          </w:p>
        </w:tc>
        <w:tc>
          <w:tcPr>
            <w:tcW w:w="2858" w:type="dxa"/>
            <w:tcBorders>
              <w:top w:val="single" w:sz="8" w:space="0" w:color="auto"/>
              <w:left w:val="nil"/>
              <w:bottom w:val="single" w:sz="4" w:space="0" w:color="auto"/>
              <w:right w:val="single" w:sz="4" w:space="0" w:color="auto"/>
            </w:tcBorders>
            <w:vAlign w:val="center"/>
            <w:hideMark/>
          </w:tcPr>
          <w:p w:rsidR="008D32D8" w:rsidRPr="00BA5143" w:rsidRDefault="008D32D8" w:rsidP="008D32D8">
            <w:pPr>
              <w:jc w:val="center"/>
              <w:rPr>
                <w:sz w:val="20"/>
                <w:szCs w:val="20"/>
                <w:lang w:val="en-US"/>
              </w:rPr>
            </w:pPr>
            <w:r w:rsidRPr="00BA5143">
              <w:rPr>
                <w:sz w:val="20"/>
                <w:szCs w:val="20"/>
                <w:lang w:val="en-US"/>
              </w:rPr>
              <w:t>Item</w:t>
            </w:r>
          </w:p>
        </w:tc>
        <w:tc>
          <w:tcPr>
            <w:tcW w:w="999" w:type="dxa"/>
            <w:tcBorders>
              <w:top w:val="single" w:sz="8" w:space="0" w:color="auto"/>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On demand and less than 1 month.</w:t>
            </w:r>
          </w:p>
        </w:tc>
        <w:tc>
          <w:tcPr>
            <w:tcW w:w="1057" w:type="dxa"/>
            <w:tcBorders>
              <w:top w:val="single" w:sz="8" w:space="0" w:color="auto"/>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From 1 to 3 months.</w:t>
            </w:r>
          </w:p>
        </w:tc>
        <w:tc>
          <w:tcPr>
            <w:tcW w:w="957" w:type="dxa"/>
            <w:tcBorders>
              <w:top w:val="single" w:sz="8" w:space="0" w:color="auto"/>
              <w:left w:val="nil"/>
              <w:bottom w:val="single" w:sz="4" w:space="0" w:color="auto"/>
              <w:right w:val="single" w:sz="4" w:space="0" w:color="auto"/>
            </w:tcBorders>
            <w:vAlign w:val="center"/>
            <w:hideMark/>
          </w:tcPr>
          <w:p w:rsidR="008D32D8" w:rsidRPr="00BA5143" w:rsidRDefault="008D32D8">
            <w:pPr>
              <w:rPr>
                <w:sz w:val="20"/>
                <w:szCs w:val="20"/>
                <w:lang w:val="en-US"/>
              </w:rPr>
            </w:pPr>
            <w:r w:rsidRPr="00BA5143">
              <w:rPr>
                <w:sz w:val="20"/>
                <w:szCs w:val="20"/>
                <w:lang w:val="en-US"/>
              </w:rPr>
              <w:t>From 3 to 12 months.</w:t>
            </w:r>
          </w:p>
        </w:tc>
        <w:tc>
          <w:tcPr>
            <w:tcW w:w="1058" w:type="dxa"/>
            <w:tcBorders>
              <w:top w:val="single" w:sz="8" w:space="0" w:color="auto"/>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From 12 months up to 5 years old</w:t>
            </w:r>
          </w:p>
        </w:tc>
        <w:tc>
          <w:tcPr>
            <w:tcW w:w="1058" w:type="dxa"/>
            <w:tcBorders>
              <w:top w:val="single" w:sz="8" w:space="0" w:color="auto"/>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More than 5 years</w:t>
            </w:r>
          </w:p>
        </w:tc>
        <w:tc>
          <w:tcPr>
            <w:tcW w:w="1059" w:type="dxa"/>
            <w:tcBorders>
              <w:top w:val="single" w:sz="8" w:space="0" w:color="auto"/>
              <w:left w:val="nil"/>
              <w:bottom w:val="single" w:sz="4" w:space="0" w:color="auto"/>
              <w:right w:val="single" w:sz="8" w:space="0" w:color="auto"/>
            </w:tcBorders>
            <w:vAlign w:val="center"/>
          </w:tcPr>
          <w:p w:rsidR="008D32D8" w:rsidRPr="00BA5143" w:rsidRDefault="008D32D8">
            <w:pPr>
              <w:rPr>
                <w:sz w:val="20"/>
                <w:szCs w:val="20"/>
                <w:lang w:val="en-US"/>
              </w:rPr>
            </w:pPr>
            <w:r w:rsidRPr="00BA5143">
              <w:rPr>
                <w:sz w:val="20"/>
                <w:szCs w:val="20"/>
                <w:lang w:val="en-US"/>
              </w:rPr>
              <w:t xml:space="preserve">Total </w:t>
            </w:r>
          </w:p>
          <w:p w:rsidR="008D32D8" w:rsidRPr="00BA5143" w:rsidRDefault="008D32D8">
            <w:pPr>
              <w:rPr>
                <w:sz w:val="20"/>
                <w:szCs w:val="20"/>
                <w:lang w:val="en-US"/>
              </w:rPr>
            </w:pP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1 </w:t>
            </w:r>
          </w:p>
        </w:tc>
        <w:tc>
          <w:tcPr>
            <w:tcW w:w="2858"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2 </w:t>
            </w:r>
          </w:p>
        </w:tc>
        <w:tc>
          <w:tcPr>
            <w:tcW w:w="999"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3 </w:t>
            </w:r>
          </w:p>
        </w:tc>
        <w:tc>
          <w:tcPr>
            <w:tcW w:w="1057"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4 </w:t>
            </w:r>
          </w:p>
        </w:tc>
        <w:tc>
          <w:tcPr>
            <w:tcW w:w="957"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5 </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6 </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center"/>
              <w:rPr>
                <w:sz w:val="20"/>
                <w:szCs w:val="20"/>
                <w:lang w:val="en-US"/>
              </w:rPr>
            </w:pPr>
            <w:r w:rsidRPr="00BA5143">
              <w:rPr>
                <w:sz w:val="20"/>
                <w:szCs w:val="20"/>
                <w:lang w:val="en-US"/>
              </w:rPr>
              <w:t>7 </w:t>
            </w:r>
          </w:p>
        </w:tc>
        <w:tc>
          <w:tcPr>
            <w:tcW w:w="1059" w:type="dxa"/>
            <w:tcBorders>
              <w:top w:val="nil"/>
              <w:left w:val="nil"/>
              <w:bottom w:val="single" w:sz="4" w:space="0" w:color="auto"/>
              <w:right w:val="single" w:sz="8" w:space="0" w:color="auto"/>
            </w:tcBorders>
            <w:vAlign w:val="center"/>
            <w:hideMark/>
          </w:tcPr>
          <w:p w:rsidR="008D32D8" w:rsidRPr="00BA5143" w:rsidRDefault="008D32D8">
            <w:pPr>
              <w:jc w:val="center"/>
              <w:rPr>
                <w:sz w:val="20"/>
                <w:szCs w:val="20"/>
                <w:lang w:val="en-US"/>
              </w:rPr>
            </w:pPr>
            <w:r w:rsidRPr="00BA5143">
              <w:rPr>
                <w:sz w:val="20"/>
                <w:szCs w:val="20"/>
                <w:lang w:val="en-US"/>
              </w:rPr>
              <w:t>8 </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2858" w:type="dxa"/>
            <w:tcBorders>
              <w:top w:val="nil"/>
              <w:left w:val="nil"/>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Assets</w:t>
            </w:r>
          </w:p>
        </w:tc>
        <w:tc>
          <w:tcPr>
            <w:tcW w:w="999"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9" w:type="dxa"/>
            <w:tcBorders>
              <w:top w:val="nil"/>
              <w:left w:val="nil"/>
              <w:bottom w:val="single" w:sz="4" w:space="0" w:color="auto"/>
              <w:right w:val="single" w:sz="8"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1 </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Cash and cash equivalents</w:t>
            </w:r>
          </w:p>
        </w:tc>
        <w:tc>
          <w:tcPr>
            <w:tcW w:w="999" w:type="dxa"/>
            <w:tcBorders>
              <w:top w:val="single" w:sz="4" w:space="0" w:color="auto"/>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3 289</w:t>
            </w:r>
          </w:p>
        </w:tc>
        <w:tc>
          <w:tcPr>
            <w:tcW w:w="1057"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957"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single" w:sz="4" w:space="0" w:color="auto"/>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3 289</w:t>
            </w:r>
          </w:p>
        </w:tc>
      </w:tr>
      <w:tr w:rsidR="008D32D8" w:rsidRPr="00BA5143" w:rsidTr="008D32D8">
        <w:trPr>
          <w:trHeight w:val="510"/>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lastRenderedPageBreak/>
              <w:t>2 </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Debt securities, which are accounted for at amortized cost</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95 587</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25 868</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47 588</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169 043</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3</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Total financial assets</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98 876</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25 868</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47 588</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172 332</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  </w:t>
            </w:r>
          </w:p>
        </w:tc>
        <w:tc>
          <w:tcPr>
            <w:tcW w:w="2858" w:type="dxa"/>
            <w:tcBorders>
              <w:top w:val="nil"/>
              <w:left w:val="nil"/>
              <w:bottom w:val="single" w:sz="4" w:space="0" w:color="auto"/>
              <w:right w:val="single" w:sz="4" w:space="0" w:color="auto"/>
            </w:tcBorders>
            <w:hideMark/>
          </w:tcPr>
          <w:p w:rsidR="008D32D8" w:rsidRPr="00BA5143" w:rsidRDefault="00CD74BA">
            <w:pPr>
              <w:rPr>
                <w:sz w:val="20"/>
                <w:szCs w:val="20"/>
                <w:lang w:val="en-US"/>
              </w:rPr>
            </w:pPr>
            <w:r w:rsidRPr="00BA5143">
              <w:rPr>
                <w:sz w:val="20"/>
                <w:szCs w:val="20"/>
                <w:lang w:val="en-US"/>
              </w:rPr>
              <w:t>Liabilities</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 </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 </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4</w:t>
            </w:r>
          </w:p>
        </w:tc>
        <w:tc>
          <w:tcPr>
            <w:tcW w:w="2858" w:type="dxa"/>
            <w:tcBorders>
              <w:top w:val="nil"/>
              <w:left w:val="nil"/>
              <w:bottom w:val="single" w:sz="4" w:space="0" w:color="auto"/>
              <w:right w:val="single" w:sz="4" w:space="0" w:color="auto"/>
            </w:tcBorders>
            <w:hideMark/>
          </w:tcPr>
          <w:p w:rsidR="008D32D8" w:rsidRPr="00BA5143" w:rsidRDefault="00CD74BA">
            <w:pPr>
              <w:rPr>
                <w:sz w:val="20"/>
                <w:szCs w:val="20"/>
                <w:lang w:val="en-US"/>
              </w:rPr>
            </w:pPr>
            <w:r w:rsidRPr="00BA5143">
              <w:rPr>
                <w:sz w:val="20"/>
                <w:szCs w:val="20"/>
                <w:lang w:val="en-US"/>
              </w:rPr>
              <w:t>Customers fund</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597</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617</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5 </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 xml:space="preserve">Other </w:t>
            </w:r>
            <w:r w:rsidR="00CD74BA" w:rsidRPr="00BA5143">
              <w:rPr>
                <w:sz w:val="20"/>
                <w:szCs w:val="20"/>
                <w:lang w:val="en-US"/>
              </w:rPr>
              <w:t>liabilities</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4</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hideMark/>
          </w:tcPr>
          <w:p w:rsidR="008D32D8" w:rsidRPr="00BA5143" w:rsidRDefault="008D32D8">
            <w:pPr>
              <w:jc w:val="center"/>
              <w:rPr>
                <w:sz w:val="20"/>
                <w:szCs w:val="20"/>
                <w:lang w:val="en-US"/>
              </w:rPr>
            </w:pPr>
            <w:r w:rsidRPr="00BA5143">
              <w:rPr>
                <w:sz w:val="20"/>
                <w:szCs w:val="20"/>
                <w:lang w:val="en-US"/>
              </w:rPr>
              <w:t>6</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Subordinated debt</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163</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32 591</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32 754</w:t>
            </w:r>
          </w:p>
        </w:tc>
      </w:tr>
      <w:tr w:rsidR="008D32D8" w:rsidRPr="00BA5143" w:rsidTr="008D32D8">
        <w:trPr>
          <w:trHeight w:val="255"/>
        </w:trPr>
        <w:tc>
          <w:tcPr>
            <w:tcW w:w="769" w:type="dxa"/>
            <w:tcBorders>
              <w:top w:val="nil"/>
              <w:left w:val="single" w:sz="8"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7 </w:t>
            </w:r>
          </w:p>
        </w:tc>
        <w:tc>
          <w:tcPr>
            <w:tcW w:w="2858" w:type="dxa"/>
            <w:tcBorders>
              <w:top w:val="nil"/>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Total financial liabilities</w:t>
            </w:r>
          </w:p>
        </w:tc>
        <w:tc>
          <w:tcPr>
            <w:tcW w:w="999" w:type="dxa"/>
            <w:tcBorders>
              <w:top w:val="nil"/>
              <w:left w:val="single" w:sz="4" w:space="0" w:color="auto"/>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764</w:t>
            </w:r>
          </w:p>
        </w:tc>
        <w:tc>
          <w:tcPr>
            <w:tcW w:w="10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957"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10</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32 591</w:t>
            </w:r>
          </w:p>
        </w:tc>
        <w:tc>
          <w:tcPr>
            <w:tcW w:w="1058"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bottom"/>
            <w:hideMark/>
          </w:tcPr>
          <w:p w:rsidR="008D32D8" w:rsidRPr="00BA5143" w:rsidRDefault="008D32D8">
            <w:pPr>
              <w:jc w:val="right"/>
              <w:rPr>
                <w:sz w:val="20"/>
                <w:szCs w:val="20"/>
                <w:lang w:val="en-US"/>
              </w:rPr>
            </w:pPr>
            <w:r w:rsidRPr="00BA5143">
              <w:rPr>
                <w:sz w:val="20"/>
                <w:szCs w:val="20"/>
                <w:lang w:val="en-US"/>
              </w:rPr>
              <w:t>33 375</w:t>
            </w:r>
          </w:p>
        </w:tc>
      </w:tr>
      <w:tr w:rsidR="008D32D8" w:rsidRPr="00BA5143" w:rsidTr="008D32D8">
        <w:trPr>
          <w:trHeight w:val="510"/>
        </w:trPr>
        <w:tc>
          <w:tcPr>
            <w:tcW w:w="769" w:type="dxa"/>
            <w:tcBorders>
              <w:top w:val="single" w:sz="4" w:space="0" w:color="auto"/>
              <w:left w:val="single" w:sz="4"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8 </w:t>
            </w:r>
          </w:p>
        </w:tc>
        <w:tc>
          <w:tcPr>
            <w:tcW w:w="2858" w:type="dxa"/>
            <w:tcBorders>
              <w:top w:val="single" w:sz="4" w:space="0" w:color="auto"/>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Net liquidity break at the end of December 31</w:t>
            </w:r>
          </w:p>
        </w:tc>
        <w:tc>
          <w:tcPr>
            <w:tcW w:w="999" w:type="dxa"/>
            <w:tcBorders>
              <w:top w:val="nil"/>
              <w:left w:val="single" w:sz="4" w:space="0" w:color="auto"/>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98 112</w:t>
            </w:r>
          </w:p>
        </w:tc>
        <w:tc>
          <w:tcPr>
            <w:tcW w:w="1057"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25 858</w:t>
            </w:r>
          </w:p>
        </w:tc>
        <w:tc>
          <w:tcPr>
            <w:tcW w:w="957"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47 578</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(32 591)</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w:t>
            </w:r>
          </w:p>
        </w:tc>
        <w:tc>
          <w:tcPr>
            <w:tcW w:w="1059"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138 957</w:t>
            </w:r>
          </w:p>
        </w:tc>
      </w:tr>
      <w:tr w:rsidR="008D32D8" w:rsidRPr="00BA5143" w:rsidTr="008D32D8">
        <w:trPr>
          <w:trHeight w:val="510"/>
        </w:trPr>
        <w:tc>
          <w:tcPr>
            <w:tcW w:w="769" w:type="dxa"/>
            <w:tcBorders>
              <w:top w:val="single" w:sz="4" w:space="0" w:color="auto"/>
              <w:left w:val="single" w:sz="4" w:space="0" w:color="auto"/>
              <w:bottom w:val="single" w:sz="4" w:space="0" w:color="auto"/>
              <w:right w:val="single" w:sz="4" w:space="0" w:color="auto"/>
            </w:tcBorders>
            <w:vAlign w:val="bottom"/>
            <w:hideMark/>
          </w:tcPr>
          <w:p w:rsidR="008D32D8" w:rsidRPr="00BA5143" w:rsidRDefault="008D32D8">
            <w:pPr>
              <w:jc w:val="center"/>
              <w:rPr>
                <w:sz w:val="20"/>
                <w:szCs w:val="20"/>
                <w:lang w:val="en-US"/>
              </w:rPr>
            </w:pPr>
            <w:r w:rsidRPr="00BA5143">
              <w:rPr>
                <w:sz w:val="20"/>
                <w:szCs w:val="20"/>
                <w:lang w:val="en-US"/>
              </w:rPr>
              <w:t>9 </w:t>
            </w:r>
          </w:p>
        </w:tc>
        <w:tc>
          <w:tcPr>
            <w:tcW w:w="2858" w:type="dxa"/>
            <w:tcBorders>
              <w:top w:val="single" w:sz="4" w:space="0" w:color="auto"/>
              <w:left w:val="nil"/>
              <w:bottom w:val="single" w:sz="4" w:space="0" w:color="auto"/>
              <w:right w:val="single" w:sz="4" w:space="0" w:color="auto"/>
            </w:tcBorders>
            <w:hideMark/>
          </w:tcPr>
          <w:p w:rsidR="008D32D8" w:rsidRPr="00BA5143" w:rsidRDefault="008D32D8">
            <w:pPr>
              <w:rPr>
                <w:sz w:val="20"/>
                <w:szCs w:val="20"/>
                <w:lang w:val="en-US"/>
              </w:rPr>
            </w:pPr>
            <w:r w:rsidRPr="00BA5143">
              <w:rPr>
                <w:sz w:val="20"/>
                <w:szCs w:val="20"/>
                <w:lang w:val="en-US"/>
              </w:rPr>
              <w:t>The aggregate liquidity gap at the end of December 31</w:t>
            </w:r>
          </w:p>
        </w:tc>
        <w:tc>
          <w:tcPr>
            <w:tcW w:w="999" w:type="dxa"/>
            <w:tcBorders>
              <w:top w:val="nil"/>
              <w:left w:val="single" w:sz="4" w:space="0" w:color="auto"/>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98 112</w:t>
            </w:r>
          </w:p>
        </w:tc>
        <w:tc>
          <w:tcPr>
            <w:tcW w:w="1057"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123 970</w:t>
            </w:r>
          </w:p>
        </w:tc>
        <w:tc>
          <w:tcPr>
            <w:tcW w:w="957"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171 548</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138 957</w:t>
            </w:r>
          </w:p>
        </w:tc>
        <w:tc>
          <w:tcPr>
            <w:tcW w:w="1058"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138 957</w:t>
            </w:r>
          </w:p>
        </w:tc>
        <w:tc>
          <w:tcPr>
            <w:tcW w:w="1059" w:type="dxa"/>
            <w:tcBorders>
              <w:top w:val="nil"/>
              <w:left w:val="nil"/>
              <w:bottom w:val="single" w:sz="4" w:space="0" w:color="auto"/>
              <w:right w:val="single" w:sz="4" w:space="0" w:color="auto"/>
            </w:tcBorders>
            <w:vAlign w:val="center"/>
            <w:hideMark/>
          </w:tcPr>
          <w:p w:rsidR="008D32D8" w:rsidRPr="00BA5143" w:rsidRDefault="008D32D8">
            <w:pPr>
              <w:jc w:val="right"/>
              <w:rPr>
                <w:sz w:val="20"/>
                <w:szCs w:val="20"/>
                <w:lang w:val="en-US"/>
              </w:rPr>
            </w:pPr>
            <w:r w:rsidRPr="00BA5143">
              <w:rPr>
                <w:sz w:val="20"/>
                <w:szCs w:val="20"/>
                <w:lang w:val="en-US"/>
              </w:rPr>
              <w:t> </w:t>
            </w:r>
          </w:p>
        </w:tc>
      </w:tr>
    </w:tbl>
    <w:p w:rsidR="00C435F3" w:rsidRPr="00BA5143" w:rsidRDefault="00C435F3" w:rsidP="00C435F3">
      <w:pPr>
        <w:rPr>
          <w:color w:val="000000"/>
          <w:lang w:val="en-US"/>
        </w:rPr>
      </w:pPr>
    </w:p>
    <w:p w:rsidR="00CD74BA" w:rsidRPr="00BA5143" w:rsidRDefault="00CD74BA" w:rsidP="00CD74BA">
      <w:pPr>
        <w:spacing w:line="240" w:lineRule="exact"/>
        <w:rPr>
          <w:b/>
          <w:color w:val="000000"/>
          <w:lang w:val="en-US"/>
        </w:rPr>
      </w:pPr>
    </w:p>
    <w:p w:rsidR="00CD74BA" w:rsidRPr="00BA5143" w:rsidRDefault="00CD74BA" w:rsidP="00CD74BA">
      <w:pPr>
        <w:spacing w:line="240" w:lineRule="exact"/>
        <w:rPr>
          <w:b/>
          <w:color w:val="000000"/>
          <w:lang w:val="en-US"/>
        </w:rPr>
      </w:pPr>
      <w:r w:rsidRPr="00BA5143">
        <w:rPr>
          <w:b/>
          <w:color w:val="000000"/>
          <w:lang w:val="en-US"/>
        </w:rPr>
        <w:t>Table 25.10. Analysis of financial assets and liabilities by maturity based on expected maturities in 2017</w:t>
      </w:r>
    </w:p>
    <w:p w:rsidR="00CD74BA" w:rsidRPr="00BA5143" w:rsidRDefault="00CD74BA" w:rsidP="00CD74BA">
      <w:pPr>
        <w:spacing w:line="240" w:lineRule="exact"/>
        <w:ind w:firstLine="567"/>
        <w:jc w:val="right"/>
        <w:rPr>
          <w:lang w:val="en-US"/>
        </w:rPr>
      </w:pPr>
      <w:r w:rsidRPr="00BA5143">
        <w:rPr>
          <w:lang w:val="en-US"/>
        </w:rPr>
        <w:t>(ths. UAH.)</w:t>
      </w:r>
    </w:p>
    <w:tbl>
      <w:tblPr>
        <w:tblW w:w="9815" w:type="dxa"/>
        <w:tblInd w:w="93" w:type="dxa"/>
        <w:tblLook w:val="04A0"/>
      </w:tblPr>
      <w:tblGrid>
        <w:gridCol w:w="960"/>
        <w:gridCol w:w="2655"/>
        <w:gridCol w:w="1000"/>
        <w:gridCol w:w="1060"/>
        <w:gridCol w:w="960"/>
        <w:gridCol w:w="1060"/>
        <w:gridCol w:w="1060"/>
        <w:gridCol w:w="1060"/>
      </w:tblGrid>
      <w:tr w:rsidR="00CD74BA" w:rsidRPr="00BA5143" w:rsidTr="00CD74BA">
        <w:trPr>
          <w:trHeight w:val="765"/>
        </w:trPr>
        <w:tc>
          <w:tcPr>
            <w:tcW w:w="960" w:type="dxa"/>
            <w:tcBorders>
              <w:top w:val="single" w:sz="8" w:space="0" w:color="auto"/>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Line </w:t>
            </w:r>
          </w:p>
        </w:tc>
        <w:tc>
          <w:tcPr>
            <w:tcW w:w="2655" w:type="dxa"/>
            <w:tcBorders>
              <w:top w:val="single" w:sz="8" w:space="0" w:color="auto"/>
              <w:left w:val="nil"/>
              <w:bottom w:val="single" w:sz="4" w:space="0" w:color="auto"/>
              <w:right w:val="single" w:sz="4" w:space="0" w:color="auto"/>
            </w:tcBorders>
            <w:vAlign w:val="center"/>
            <w:hideMark/>
          </w:tcPr>
          <w:p w:rsidR="00CD74BA" w:rsidRPr="00BA5143" w:rsidRDefault="00CD74BA" w:rsidP="00CD74BA">
            <w:pPr>
              <w:jc w:val="center"/>
              <w:rPr>
                <w:sz w:val="20"/>
                <w:szCs w:val="20"/>
                <w:lang w:val="en-US"/>
              </w:rPr>
            </w:pPr>
            <w:r w:rsidRPr="00BA5143">
              <w:rPr>
                <w:sz w:val="20"/>
                <w:szCs w:val="20"/>
                <w:lang w:val="en-US"/>
              </w:rPr>
              <w:t>Item</w:t>
            </w:r>
          </w:p>
        </w:tc>
        <w:tc>
          <w:tcPr>
            <w:tcW w:w="1000" w:type="dxa"/>
            <w:tcBorders>
              <w:top w:val="single" w:sz="8" w:space="0" w:color="auto"/>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On demand and less than 1 month.</w:t>
            </w:r>
          </w:p>
        </w:tc>
        <w:tc>
          <w:tcPr>
            <w:tcW w:w="1060" w:type="dxa"/>
            <w:tcBorders>
              <w:top w:val="single" w:sz="8" w:space="0" w:color="auto"/>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From 1 to 3 months.</w:t>
            </w:r>
          </w:p>
        </w:tc>
        <w:tc>
          <w:tcPr>
            <w:tcW w:w="960" w:type="dxa"/>
            <w:tcBorders>
              <w:top w:val="single" w:sz="8" w:space="0" w:color="auto"/>
              <w:left w:val="nil"/>
              <w:bottom w:val="single" w:sz="4" w:space="0" w:color="auto"/>
              <w:right w:val="single" w:sz="4" w:space="0" w:color="auto"/>
            </w:tcBorders>
            <w:vAlign w:val="center"/>
            <w:hideMark/>
          </w:tcPr>
          <w:p w:rsidR="00CD74BA" w:rsidRPr="00BA5143" w:rsidRDefault="00CD74BA">
            <w:pPr>
              <w:rPr>
                <w:sz w:val="20"/>
                <w:szCs w:val="20"/>
                <w:lang w:val="en-US"/>
              </w:rPr>
            </w:pPr>
            <w:r w:rsidRPr="00BA5143">
              <w:rPr>
                <w:sz w:val="20"/>
                <w:szCs w:val="20"/>
                <w:lang w:val="en-US"/>
              </w:rPr>
              <w:t>From 3 to 12 months.</w:t>
            </w:r>
          </w:p>
        </w:tc>
        <w:tc>
          <w:tcPr>
            <w:tcW w:w="1060" w:type="dxa"/>
            <w:tcBorders>
              <w:top w:val="single" w:sz="8" w:space="0" w:color="auto"/>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From 12 months up to 5 years old</w:t>
            </w:r>
          </w:p>
        </w:tc>
        <w:tc>
          <w:tcPr>
            <w:tcW w:w="1060" w:type="dxa"/>
            <w:tcBorders>
              <w:top w:val="single" w:sz="8" w:space="0" w:color="auto"/>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More than 5 years</w:t>
            </w:r>
          </w:p>
        </w:tc>
        <w:tc>
          <w:tcPr>
            <w:tcW w:w="1060" w:type="dxa"/>
            <w:tcBorders>
              <w:top w:val="single" w:sz="8" w:space="0" w:color="auto"/>
              <w:left w:val="nil"/>
              <w:bottom w:val="single" w:sz="4" w:space="0" w:color="auto"/>
              <w:right w:val="single" w:sz="8" w:space="0" w:color="auto"/>
            </w:tcBorders>
            <w:vAlign w:val="center"/>
          </w:tcPr>
          <w:p w:rsidR="00CD74BA" w:rsidRPr="00BA5143" w:rsidRDefault="00CD74BA">
            <w:pPr>
              <w:rPr>
                <w:sz w:val="20"/>
                <w:szCs w:val="20"/>
                <w:lang w:val="en-US"/>
              </w:rPr>
            </w:pPr>
            <w:r w:rsidRPr="00BA5143">
              <w:rPr>
                <w:sz w:val="20"/>
                <w:szCs w:val="20"/>
                <w:lang w:val="en-US"/>
              </w:rPr>
              <w:t xml:space="preserve">Total </w:t>
            </w:r>
          </w:p>
          <w:p w:rsidR="00CD74BA" w:rsidRPr="00BA5143" w:rsidRDefault="00CD74BA">
            <w:pPr>
              <w:rPr>
                <w:sz w:val="20"/>
                <w:szCs w:val="20"/>
                <w:lang w:val="en-US"/>
              </w:rPr>
            </w:pP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1 </w:t>
            </w:r>
          </w:p>
        </w:tc>
        <w:tc>
          <w:tcPr>
            <w:tcW w:w="2655"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2 </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3 </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4 </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5 </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6 </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center"/>
              <w:rPr>
                <w:sz w:val="20"/>
                <w:szCs w:val="20"/>
                <w:lang w:val="en-US"/>
              </w:rPr>
            </w:pPr>
            <w:r w:rsidRPr="00BA5143">
              <w:rPr>
                <w:sz w:val="20"/>
                <w:szCs w:val="20"/>
                <w:lang w:val="en-US"/>
              </w:rPr>
              <w:t>7 </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center"/>
              <w:rPr>
                <w:sz w:val="20"/>
                <w:szCs w:val="20"/>
                <w:lang w:val="en-US"/>
              </w:rPr>
            </w:pPr>
            <w:r w:rsidRPr="00BA5143">
              <w:rPr>
                <w:sz w:val="20"/>
                <w:szCs w:val="20"/>
                <w:lang w:val="en-US"/>
              </w:rPr>
              <w:t>8 </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rPr>
                <w:sz w:val="20"/>
                <w:szCs w:val="20"/>
                <w:lang w:val="en-US"/>
              </w:rPr>
            </w:pPr>
            <w:r w:rsidRPr="00BA5143">
              <w:rPr>
                <w:sz w:val="20"/>
                <w:szCs w:val="20"/>
                <w:lang w:val="en-US"/>
              </w:rPr>
              <w:t>  </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Assets</w:t>
            </w:r>
          </w:p>
        </w:tc>
        <w:tc>
          <w:tcPr>
            <w:tcW w:w="1000" w:type="dxa"/>
            <w:tcBorders>
              <w:top w:val="nil"/>
              <w:left w:val="nil"/>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1060" w:type="dxa"/>
            <w:tcBorders>
              <w:top w:val="nil"/>
              <w:left w:val="nil"/>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960" w:type="dxa"/>
            <w:tcBorders>
              <w:top w:val="nil"/>
              <w:left w:val="nil"/>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1060" w:type="dxa"/>
            <w:tcBorders>
              <w:top w:val="nil"/>
              <w:left w:val="nil"/>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1060" w:type="dxa"/>
            <w:tcBorders>
              <w:top w:val="nil"/>
              <w:left w:val="nil"/>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1060" w:type="dxa"/>
            <w:tcBorders>
              <w:top w:val="nil"/>
              <w:left w:val="nil"/>
              <w:bottom w:val="single" w:sz="4" w:space="0" w:color="auto"/>
              <w:right w:val="single" w:sz="8"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1 </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Cash and cash equivalents</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3 417</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3 417</w:t>
            </w:r>
          </w:p>
        </w:tc>
      </w:tr>
      <w:tr w:rsidR="00CD74BA" w:rsidRPr="00BA5143" w:rsidTr="00CD74BA">
        <w:trPr>
          <w:trHeight w:val="510"/>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2</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Debt securities, which are accounted for at amortized cost</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142 668</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7 052</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149 720</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3</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Total financial assets</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146 085</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7 052</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153 137</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rsidP="00CD74BA">
            <w:pPr>
              <w:rPr>
                <w:sz w:val="20"/>
                <w:szCs w:val="20"/>
                <w:lang w:val="en-US"/>
              </w:rPr>
            </w:pPr>
            <w:r w:rsidRPr="00BA5143">
              <w:rPr>
                <w:sz w:val="20"/>
                <w:szCs w:val="20"/>
                <w:lang w:val="en-US"/>
              </w:rPr>
              <w:t>  </w:t>
            </w:r>
          </w:p>
        </w:tc>
        <w:tc>
          <w:tcPr>
            <w:tcW w:w="2655" w:type="dxa"/>
            <w:tcBorders>
              <w:top w:val="nil"/>
              <w:left w:val="nil"/>
              <w:bottom w:val="single" w:sz="4" w:space="0" w:color="auto"/>
              <w:right w:val="single" w:sz="4" w:space="0" w:color="auto"/>
            </w:tcBorders>
            <w:hideMark/>
          </w:tcPr>
          <w:p w:rsidR="00CD74BA" w:rsidRPr="00BA5143" w:rsidRDefault="00CD74BA" w:rsidP="00CD74BA">
            <w:pPr>
              <w:rPr>
                <w:sz w:val="20"/>
                <w:szCs w:val="20"/>
                <w:lang w:val="en-US"/>
              </w:rPr>
            </w:pPr>
            <w:r w:rsidRPr="00BA5143">
              <w:rPr>
                <w:sz w:val="20"/>
                <w:szCs w:val="20"/>
                <w:lang w:val="en-US"/>
              </w:rPr>
              <w:t>Liabilities</w:t>
            </w:r>
          </w:p>
        </w:tc>
        <w:tc>
          <w:tcPr>
            <w:tcW w:w="1000" w:type="dxa"/>
            <w:tcBorders>
              <w:top w:val="nil"/>
              <w:left w:val="nil"/>
              <w:bottom w:val="single" w:sz="4" w:space="0" w:color="auto"/>
              <w:right w:val="single" w:sz="4" w:space="0" w:color="auto"/>
            </w:tcBorders>
            <w:vAlign w:val="center"/>
          </w:tcPr>
          <w:p w:rsidR="00CD74BA" w:rsidRPr="00BA5143" w:rsidRDefault="00CD74BA" w:rsidP="00CD74BA">
            <w:pPr>
              <w:jc w:val="right"/>
              <w:rPr>
                <w:b/>
                <w:sz w:val="20"/>
                <w:szCs w:val="20"/>
                <w:lang w:val="en-US"/>
              </w:rPr>
            </w:pPr>
          </w:p>
        </w:tc>
        <w:tc>
          <w:tcPr>
            <w:tcW w:w="1060" w:type="dxa"/>
            <w:tcBorders>
              <w:top w:val="nil"/>
              <w:left w:val="nil"/>
              <w:bottom w:val="single" w:sz="4" w:space="0" w:color="auto"/>
              <w:right w:val="single" w:sz="4" w:space="0" w:color="auto"/>
            </w:tcBorders>
            <w:vAlign w:val="center"/>
          </w:tcPr>
          <w:p w:rsidR="00CD74BA" w:rsidRPr="00BA5143" w:rsidRDefault="00CD74BA" w:rsidP="00CD74BA">
            <w:pPr>
              <w:jc w:val="right"/>
              <w:rPr>
                <w:b/>
                <w:sz w:val="20"/>
                <w:szCs w:val="20"/>
                <w:lang w:val="en-US"/>
              </w:rPr>
            </w:pPr>
          </w:p>
        </w:tc>
        <w:tc>
          <w:tcPr>
            <w:tcW w:w="960" w:type="dxa"/>
            <w:tcBorders>
              <w:top w:val="nil"/>
              <w:left w:val="nil"/>
              <w:bottom w:val="single" w:sz="4" w:space="0" w:color="auto"/>
              <w:right w:val="single" w:sz="4" w:space="0" w:color="auto"/>
            </w:tcBorders>
            <w:vAlign w:val="center"/>
          </w:tcPr>
          <w:p w:rsidR="00CD74BA" w:rsidRPr="00BA5143" w:rsidRDefault="00CD74BA" w:rsidP="00CD74BA">
            <w:pPr>
              <w:jc w:val="right"/>
              <w:rPr>
                <w:b/>
                <w:sz w:val="20"/>
                <w:szCs w:val="20"/>
                <w:lang w:val="en-US"/>
              </w:rPr>
            </w:pPr>
          </w:p>
        </w:tc>
        <w:tc>
          <w:tcPr>
            <w:tcW w:w="1060" w:type="dxa"/>
            <w:tcBorders>
              <w:top w:val="nil"/>
              <w:left w:val="nil"/>
              <w:bottom w:val="single" w:sz="4" w:space="0" w:color="auto"/>
              <w:right w:val="single" w:sz="4" w:space="0" w:color="auto"/>
            </w:tcBorders>
            <w:vAlign w:val="center"/>
          </w:tcPr>
          <w:p w:rsidR="00CD74BA" w:rsidRPr="00BA5143" w:rsidRDefault="00CD74BA" w:rsidP="00CD74BA">
            <w:pPr>
              <w:jc w:val="right"/>
              <w:rPr>
                <w:b/>
                <w:sz w:val="20"/>
                <w:szCs w:val="20"/>
                <w:lang w:val="en-US"/>
              </w:rPr>
            </w:pPr>
          </w:p>
        </w:tc>
        <w:tc>
          <w:tcPr>
            <w:tcW w:w="1060" w:type="dxa"/>
            <w:tcBorders>
              <w:top w:val="nil"/>
              <w:left w:val="nil"/>
              <w:bottom w:val="single" w:sz="4" w:space="0" w:color="auto"/>
              <w:right w:val="single" w:sz="4" w:space="0" w:color="auto"/>
            </w:tcBorders>
            <w:vAlign w:val="center"/>
          </w:tcPr>
          <w:p w:rsidR="00CD74BA" w:rsidRPr="00BA5143" w:rsidRDefault="00CD74BA" w:rsidP="00CD74BA">
            <w:pPr>
              <w:jc w:val="right"/>
              <w:rPr>
                <w:b/>
                <w:sz w:val="20"/>
                <w:szCs w:val="20"/>
                <w:lang w:val="en-US"/>
              </w:rPr>
            </w:pPr>
          </w:p>
        </w:tc>
        <w:tc>
          <w:tcPr>
            <w:tcW w:w="1060" w:type="dxa"/>
            <w:tcBorders>
              <w:top w:val="nil"/>
              <w:left w:val="nil"/>
              <w:bottom w:val="single" w:sz="4" w:space="0" w:color="auto"/>
              <w:right w:val="single" w:sz="8" w:space="0" w:color="auto"/>
            </w:tcBorders>
            <w:vAlign w:val="center"/>
          </w:tcPr>
          <w:p w:rsidR="00CD74BA" w:rsidRPr="00BA5143" w:rsidRDefault="00CD74BA" w:rsidP="00CD74BA">
            <w:pPr>
              <w:jc w:val="right"/>
              <w:rPr>
                <w:b/>
                <w:sz w:val="20"/>
                <w:szCs w:val="20"/>
                <w:lang w:val="en-US"/>
              </w:rPr>
            </w:pP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rsidP="00CD74BA">
            <w:pPr>
              <w:jc w:val="center"/>
              <w:rPr>
                <w:sz w:val="20"/>
                <w:szCs w:val="20"/>
                <w:lang w:val="en-US"/>
              </w:rPr>
            </w:pPr>
            <w:r w:rsidRPr="00BA5143">
              <w:rPr>
                <w:sz w:val="20"/>
                <w:szCs w:val="20"/>
                <w:lang w:val="en-US"/>
              </w:rPr>
              <w:t>4</w:t>
            </w:r>
          </w:p>
        </w:tc>
        <w:tc>
          <w:tcPr>
            <w:tcW w:w="2655" w:type="dxa"/>
            <w:tcBorders>
              <w:top w:val="nil"/>
              <w:left w:val="nil"/>
              <w:bottom w:val="single" w:sz="4" w:space="0" w:color="auto"/>
              <w:right w:val="single" w:sz="4" w:space="0" w:color="auto"/>
            </w:tcBorders>
            <w:hideMark/>
          </w:tcPr>
          <w:p w:rsidR="00CD74BA" w:rsidRPr="00BA5143" w:rsidRDefault="00CD74BA" w:rsidP="00CD74BA">
            <w:pPr>
              <w:rPr>
                <w:sz w:val="20"/>
                <w:szCs w:val="20"/>
                <w:lang w:val="en-US"/>
              </w:rPr>
            </w:pPr>
            <w:r w:rsidRPr="00BA5143">
              <w:rPr>
                <w:sz w:val="20"/>
                <w:szCs w:val="20"/>
                <w:lang w:val="en-US"/>
              </w:rPr>
              <w:t>Customers fund</w:t>
            </w:r>
          </w:p>
        </w:tc>
        <w:tc>
          <w:tcPr>
            <w:tcW w:w="100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2 544</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2 544</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rsidP="00CD74BA">
            <w:pPr>
              <w:jc w:val="center"/>
              <w:rPr>
                <w:sz w:val="20"/>
                <w:szCs w:val="20"/>
                <w:lang w:val="en-US"/>
              </w:rPr>
            </w:pPr>
            <w:r w:rsidRPr="00BA5143">
              <w:rPr>
                <w:sz w:val="20"/>
                <w:szCs w:val="20"/>
                <w:lang w:val="en-US"/>
              </w:rPr>
              <w:t>5</w:t>
            </w:r>
          </w:p>
        </w:tc>
        <w:tc>
          <w:tcPr>
            <w:tcW w:w="2655" w:type="dxa"/>
            <w:tcBorders>
              <w:top w:val="nil"/>
              <w:left w:val="nil"/>
              <w:bottom w:val="single" w:sz="4" w:space="0" w:color="auto"/>
              <w:right w:val="single" w:sz="4" w:space="0" w:color="auto"/>
            </w:tcBorders>
            <w:hideMark/>
          </w:tcPr>
          <w:p w:rsidR="00CD74BA" w:rsidRPr="00BA5143" w:rsidRDefault="00CD74BA" w:rsidP="00CD74BA">
            <w:pPr>
              <w:rPr>
                <w:sz w:val="20"/>
                <w:szCs w:val="20"/>
                <w:lang w:val="en-US"/>
              </w:rPr>
            </w:pPr>
            <w:r w:rsidRPr="00BA5143">
              <w:rPr>
                <w:sz w:val="20"/>
                <w:szCs w:val="20"/>
                <w:lang w:val="en-US"/>
              </w:rPr>
              <w:t>Other liabilities</w:t>
            </w:r>
          </w:p>
        </w:tc>
        <w:tc>
          <w:tcPr>
            <w:tcW w:w="100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163</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9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23 133</w:t>
            </w:r>
          </w:p>
        </w:tc>
        <w:tc>
          <w:tcPr>
            <w:tcW w:w="1060" w:type="dxa"/>
            <w:tcBorders>
              <w:top w:val="nil"/>
              <w:left w:val="nil"/>
              <w:bottom w:val="single" w:sz="4" w:space="0" w:color="auto"/>
              <w:right w:val="single" w:sz="4"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rsidP="00CD74BA">
            <w:pPr>
              <w:jc w:val="right"/>
              <w:rPr>
                <w:sz w:val="20"/>
                <w:szCs w:val="20"/>
                <w:lang w:val="en-US"/>
              </w:rPr>
            </w:pPr>
            <w:r w:rsidRPr="00BA5143">
              <w:rPr>
                <w:sz w:val="20"/>
                <w:szCs w:val="20"/>
                <w:lang w:val="en-US"/>
              </w:rPr>
              <w:t>23 296</w:t>
            </w:r>
          </w:p>
        </w:tc>
      </w:tr>
      <w:tr w:rsidR="00CD74BA" w:rsidRPr="00BA5143" w:rsidTr="00CD74BA">
        <w:trPr>
          <w:trHeight w:val="255"/>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6</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Total financial liabilities</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right"/>
              <w:rPr>
                <w:b/>
                <w:sz w:val="20"/>
                <w:szCs w:val="20"/>
                <w:lang w:val="en-US"/>
              </w:rPr>
            </w:pPr>
            <w:r w:rsidRPr="00BA5143">
              <w:rPr>
                <w:b/>
                <w:sz w:val="20"/>
                <w:szCs w:val="20"/>
                <w:lang w:val="en-US"/>
              </w:rPr>
              <w:t>2 707</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b/>
                <w:sz w:val="20"/>
                <w:szCs w:val="20"/>
                <w:lang w:val="en-US"/>
              </w:rPr>
            </w:pPr>
            <w:r w:rsidRPr="00BA5143">
              <w:rPr>
                <w:b/>
                <w:sz w:val="20"/>
                <w:szCs w:val="20"/>
                <w:lang w:val="en-US"/>
              </w:rPr>
              <w:t>-</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right"/>
              <w:rPr>
                <w:b/>
                <w:sz w:val="20"/>
                <w:szCs w:val="20"/>
                <w:lang w:val="en-US"/>
              </w:rPr>
            </w:pPr>
            <w:r w:rsidRPr="00BA5143">
              <w:rPr>
                <w:b/>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b/>
                <w:sz w:val="20"/>
                <w:szCs w:val="20"/>
                <w:lang w:val="en-US"/>
              </w:rPr>
            </w:pPr>
            <w:r w:rsidRPr="00BA5143">
              <w:rPr>
                <w:b/>
                <w:sz w:val="20"/>
                <w:szCs w:val="20"/>
                <w:lang w:val="en-US"/>
              </w:rPr>
              <w:t>23 133</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b/>
                <w:sz w:val="20"/>
                <w:szCs w:val="20"/>
                <w:lang w:val="en-US"/>
              </w:rPr>
            </w:pPr>
            <w:r w:rsidRPr="00BA5143">
              <w:rPr>
                <w:b/>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right"/>
              <w:rPr>
                <w:b/>
                <w:sz w:val="20"/>
                <w:szCs w:val="20"/>
                <w:lang w:val="en-US"/>
              </w:rPr>
            </w:pPr>
            <w:r w:rsidRPr="00BA5143">
              <w:rPr>
                <w:b/>
                <w:sz w:val="20"/>
                <w:szCs w:val="20"/>
                <w:lang w:val="en-US"/>
              </w:rPr>
              <w:t>25 840</w:t>
            </w:r>
          </w:p>
        </w:tc>
      </w:tr>
      <w:tr w:rsidR="00CD74BA" w:rsidRPr="00BA5143" w:rsidTr="00CD74BA">
        <w:trPr>
          <w:trHeight w:val="510"/>
        </w:trPr>
        <w:tc>
          <w:tcPr>
            <w:tcW w:w="960" w:type="dxa"/>
            <w:tcBorders>
              <w:top w:val="nil"/>
              <w:left w:val="single" w:sz="8" w:space="0" w:color="auto"/>
              <w:bottom w:val="single" w:sz="4"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7 </w:t>
            </w:r>
          </w:p>
        </w:tc>
        <w:tc>
          <w:tcPr>
            <w:tcW w:w="2655" w:type="dxa"/>
            <w:tcBorders>
              <w:top w:val="nil"/>
              <w:left w:val="nil"/>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Net liquidity break at the end of December 31</w:t>
            </w:r>
          </w:p>
        </w:tc>
        <w:tc>
          <w:tcPr>
            <w:tcW w:w="100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143 378</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7 052</w:t>
            </w:r>
          </w:p>
        </w:tc>
        <w:tc>
          <w:tcPr>
            <w:tcW w:w="9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 xml:space="preserve"> (23 133)</w:t>
            </w:r>
          </w:p>
        </w:tc>
        <w:tc>
          <w:tcPr>
            <w:tcW w:w="1060" w:type="dxa"/>
            <w:tcBorders>
              <w:top w:val="nil"/>
              <w:left w:val="nil"/>
              <w:bottom w:val="single" w:sz="4"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c>
          <w:tcPr>
            <w:tcW w:w="1060" w:type="dxa"/>
            <w:tcBorders>
              <w:top w:val="nil"/>
              <w:left w:val="nil"/>
              <w:bottom w:val="single" w:sz="4" w:space="0" w:color="auto"/>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127 297</w:t>
            </w:r>
          </w:p>
        </w:tc>
      </w:tr>
      <w:tr w:rsidR="00CD74BA" w:rsidRPr="00BA5143" w:rsidTr="00CD74BA">
        <w:trPr>
          <w:trHeight w:val="525"/>
        </w:trPr>
        <w:tc>
          <w:tcPr>
            <w:tcW w:w="960" w:type="dxa"/>
            <w:tcBorders>
              <w:top w:val="nil"/>
              <w:left w:val="single" w:sz="8" w:space="0" w:color="auto"/>
              <w:bottom w:val="single" w:sz="8" w:space="0" w:color="auto"/>
              <w:right w:val="single" w:sz="4" w:space="0" w:color="auto"/>
            </w:tcBorders>
            <w:vAlign w:val="bottom"/>
            <w:hideMark/>
          </w:tcPr>
          <w:p w:rsidR="00CD74BA" w:rsidRPr="00BA5143" w:rsidRDefault="00CD74BA">
            <w:pPr>
              <w:jc w:val="center"/>
              <w:rPr>
                <w:sz w:val="20"/>
                <w:szCs w:val="20"/>
                <w:lang w:val="en-US"/>
              </w:rPr>
            </w:pPr>
            <w:r w:rsidRPr="00BA5143">
              <w:rPr>
                <w:sz w:val="20"/>
                <w:szCs w:val="20"/>
                <w:lang w:val="en-US"/>
              </w:rPr>
              <w:t>8</w:t>
            </w:r>
          </w:p>
        </w:tc>
        <w:tc>
          <w:tcPr>
            <w:tcW w:w="2655" w:type="dxa"/>
            <w:tcBorders>
              <w:top w:val="nil"/>
              <w:left w:val="nil"/>
              <w:bottom w:val="single" w:sz="8" w:space="0" w:color="auto"/>
              <w:right w:val="single" w:sz="4" w:space="0" w:color="auto"/>
            </w:tcBorders>
            <w:hideMark/>
          </w:tcPr>
          <w:p w:rsidR="00CD74BA" w:rsidRPr="00BA5143" w:rsidRDefault="00CD74BA">
            <w:pPr>
              <w:rPr>
                <w:sz w:val="20"/>
                <w:szCs w:val="20"/>
                <w:lang w:val="en-US"/>
              </w:rPr>
            </w:pPr>
            <w:r w:rsidRPr="00BA5143">
              <w:rPr>
                <w:sz w:val="20"/>
                <w:szCs w:val="20"/>
                <w:lang w:val="en-US"/>
              </w:rPr>
              <w:t>The aggregate liquidity gap at the end of December 31</w:t>
            </w:r>
          </w:p>
        </w:tc>
        <w:tc>
          <w:tcPr>
            <w:tcW w:w="1000" w:type="dxa"/>
            <w:tcBorders>
              <w:top w:val="nil"/>
              <w:left w:val="nil"/>
              <w:bottom w:val="single" w:sz="8"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143 378</w:t>
            </w:r>
          </w:p>
        </w:tc>
        <w:tc>
          <w:tcPr>
            <w:tcW w:w="1060" w:type="dxa"/>
            <w:tcBorders>
              <w:top w:val="nil"/>
              <w:left w:val="nil"/>
              <w:bottom w:val="single" w:sz="8"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150 430</w:t>
            </w:r>
          </w:p>
        </w:tc>
        <w:tc>
          <w:tcPr>
            <w:tcW w:w="960" w:type="dxa"/>
            <w:tcBorders>
              <w:top w:val="nil"/>
              <w:left w:val="nil"/>
              <w:bottom w:val="single" w:sz="8"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150 430</w:t>
            </w:r>
          </w:p>
        </w:tc>
        <w:tc>
          <w:tcPr>
            <w:tcW w:w="1060" w:type="dxa"/>
            <w:tcBorders>
              <w:top w:val="nil"/>
              <w:left w:val="nil"/>
              <w:bottom w:val="single" w:sz="8"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127 297</w:t>
            </w:r>
          </w:p>
        </w:tc>
        <w:tc>
          <w:tcPr>
            <w:tcW w:w="1060" w:type="dxa"/>
            <w:tcBorders>
              <w:top w:val="nil"/>
              <w:left w:val="nil"/>
              <w:bottom w:val="single" w:sz="8" w:space="0" w:color="auto"/>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127 297</w:t>
            </w:r>
          </w:p>
        </w:tc>
        <w:tc>
          <w:tcPr>
            <w:tcW w:w="1060" w:type="dxa"/>
            <w:tcBorders>
              <w:top w:val="nil"/>
              <w:left w:val="nil"/>
              <w:bottom w:val="single" w:sz="8" w:space="0" w:color="auto"/>
              <w:right w:val="single" w:sz="8" w:space="0" w:color="auto"/>
            </w:tcBorders>
            <w:vAlign w:val="center"/>
          </w:tcPr>
          <w:p w:rsidR="00CD74BA" w:rsidRPr="00BA5143" w:rsidRDefault="00CD74BA">
            <w:pPr>
              <w:jc w:val="center"/>
              <w:rPr>
                <w:sz w:val="20"/>
                <w:szCs w:val="20"/>
                <w:lang w:val="en-US"/>
              </w:rPr>
            </w:pPr>
          </w:p>
        </w:tc>
      </w:tr>
    </w:tbl>
    <w:p w:rsidR="006B0E6C" w:rsidRPr="00BA5143" w:rsidRDefault="006B0E6C" w:rsidP="007831B3">
      <w:pPr>
        <w:spacing w:line="240" w:lineRule="exact"/>
        <w:jc w:val="both"/>
        <w:rPr>
          <w:b/>
          <w:color w:val="000000"/>
          <w:highlight w:val="yellow"/>
          <w:lang w:val="en-US"/>
        </w:rPr>
      </w:pPr>
    </w:p>
    <w:p w:rsidR="00853EA7" w:rsidRPr="00BA5143" w:rsidRDefault="00853EA7" w:rsidP="00853EA7">
      <w:pPr>
        <w:pStyle w:val="a6"/>
        <w:ind w:right="-57"/>
        <w:jc w:val="both"/>
        <w:rPr>
          <w:b/>
          <w:lang w:val="en-US"/>
        </w:rPr>
      </w:pPr>
      <w:r w:rsidRPr="00BA5143">
        <w:rPr>
          <w:b/>
          <w:lang w:val="en-US"/>
        </w:rPr>
        <w:t>Concentration of other risks</w:t>
      </w:r>
    </w:p>
    <w:p w:rsidR="00740E7F" w:rsidRPr="00BA5143" w:rsidRDefault="00853EA7" w:rsidP="00853EA7">
      <w:pPr>
        <w:pStyle w:val="a6"/>
        <w:spacing w:after="0"/>
        <w:ind w:right="-57"/>
        <w:jc w:val="both"/>
        <w:rPr>
          <w:bCs/>
          <w:lang w:val="en-US"/>
        </w:rPr>
      </w:pPr>
      <w:r w:rsidRPr="00BA5143">
        <w:rPr>
          <w:bCs/>
          <w:lang w:val="en-US"/>
        </w:rPr>
        <w:t>Other banking risks that the Bank may face in its activities are:</w:t>
      </w:r>
    </w:p>
    <w:p w:rsidR="00853EA7" w:rsidRPr="00BA5143" w:rsidRDefault="00853EA7" w:rsidP="00853EA7">
      <w:pPr>
        <w:pStyle w:val="a6"/>
        <w:spacing w:after="0"/>
        <w:ind w:right="-57"/>
        <w:jc w:val="both"/>
        <w:rPr>
          <w:b/>
          <w:lang w:val="en-US"/>
        </w:rPr>
      </w:pPr>
    </w:p>
    <w:p w:rsidR="00740E7F" w:rsidRPr="00BA5143" w:rsidRDefault="00853EA7" w:rsidP="00853EA7">
      <w:pPr>
        <w:pStyle w:val="ac"/>
        <w:tabs>
          <w:tab w:val="right" w:pos="10065"/>
        </w:tabs>
        <w:spacing w:before="0" w:line="240" w:lineRule="auto"/>
        <w:ind w:left="0" w:firstLine="0"/>
        <w:rPr>
          <w:rFonts w:ascii="Times New Roman" w:hAnsi="Times New Roman" w:cs="Times New Roman"/>
          <w:b/>
          <w:sz w:val="24"/>
          <w:szCs w:val="24"/>
          <w:lang w:val="en-US"/>
        </w:rPr>
      </w:pPr>
      <w:r w:rsidRPr="00BA5143">
        <w:rPr>
          <w:rFonts w:ascii="Times New Roman" w:hAnsi="Times New Roman" w:cs="Times New Roman"/>
          <w:b/>
          <w:sz w:val="24"/>
          <w:szCs w:val="24"/>
          <w:lang w:val="en-US"/>
        </w:rPr>
        <w:t>Operating risk</w:t>
      </w:r>
    </w:p>
    <w:p w:rsidR="00853EA7" w:rsidRPr="00BA5143" w:rsidRDefault="00853EA7" w:rsidP="00740E7F">
      <w:pPr>
        <w:pStyle w:val="ac"/>
        <w:tabs>
          <w:tab w:val="right" w:pos="10065"/>
        </w:tabs>
        <w:spacing w:before="0" w:line="240" w:lineRule="auto"/>
        <w:ind w:left="0" w:firstLine="540"/>
        <w:rPr>
          <w:rFonts w:ascii="Times New Roman" w:hAnsi="Times New Roman" w:cs="Times New Roman"/>
          <w:sz w:val="24"/>
          <w:szCs w:val="24"/>
          <w:lang w:val="en-US"/>
        </w:rPr>
      </w:pPr>
    </w:p>
    <w:p w:rsidR="00740E7F" w:rsidRPr="00BA5143" w:rsidRDefault="00853EA7" w:rsidP="00740E7F">
      <w:pPr>
        <w:pStyle w:val="ac"/>
        <w:tabs>
          <w:tab w:val="right" w:pos="10065"/>
        </w:tabs>
        <w:spacing w:before="0" w:line="240" w:lineRule="auto"/>
        <w:ind w:left="0" w:firstLine="540"/>
        <w:rPr>
          <w:rFonts w:ascii="Times New Roman" w:hAnsi="Times New Roman" w:cs="Times New Roman"/>
          <w:sz w:val="24"/>
          <w:szCs w:val="24"/>
          <w:lang w:val="en-US"/>
        </w:rPr>
      </w:pPr>
      <w:r w:rsidRPr="00BA5143">
        <w:rPr>
          <w:rFonts w:ascii="Times New Roman" w:hAnsi="Times New Roman" w:cs="Times New Roman"/>
          <w:sz w:val="24"/>
          <w:szCs w:val="24"/>
          <w:lang w:val="en-US"/>
        </w:rPr>
        <w:t>Operational risk is the probability of occurrence of losses or additional losses or lack of planned revenue due to defects or errors in the organization of internal processes, intentional or unintentional actions of bank employees or other persons, failures in the work of information systems of the bank or as a result of the influence of external factors. According to the source of the risk, the Bank distributes the given risk to the technical and technological, as well as the risk associated with the influence of the human factor. Technical and technological risks include the risk of error in the design of computer programs, network failures or telecommunication channels, inadequate contingency scheduling in the event of a system crash, the risk of errors in procedures, technologies (products) and control systems.</w:t>
      </w:r>
    </w:p>
    <w:p w:rsidR="00853EA7" w:rsidRPr="00BA5143" w:rsidRDefault="00853EA7" w:rsidP="00740E7F">
      <w:pPr>
        <w:pStyle w:val="ac"/>
        <w:tabs>
          <w:tab w:val="right" w:pos="10065"/>
        </w:tabs>
        <w:spacing w:before="0" w:line="240" w:lineRule="auto"/>
        <w:ind w:left="0" w:firstLine="540"/>
        <w:rPr>
          <w:rFonts w:ascii="Times New Roman" w:hAnsi="Times New Roman" w:cs="Times New Roman"/>
          <w:sz w:val="24"/>
          <w:szCs w:val="24"/>
          <w:lang w:val="en-US"/>
        </w:rPr>
      </w:pPr>
    </w:p>
    <w:p w:rsidR="005534AD" w:rsidRPr="00BA5143" w:rsidRDefault="005534AD" w:rsidP="005534AD">
      <w:pPr>
        <w:ind w:firstLine="567"/>
        <w:rPr>
          <w:lang w:val="en-US"/>
        </w:rPr>
      </w:pPr>
      <w:r w:rsidRPr="00BA5143">
        <w:rPr>
          <w:lang w:val="en-US"/>
        </w:rPr>
        <w:lastRenderedPageBreak/>
        <w:t>In order to ensure the assessment and management of operational risk, the Bank carries out a number of measures, namely:</w:t>
      </w:r>
    </w:p>
    <w:p w:rsidR="005534AD" w:rsidRPr="00BA5143" w:rsidRDefault="005534AD" w:rsidP="005534AD">
      <w:pPr>
        <w:ind w:firstLine="567"/>
        <w:rPr>
          <w:lang w:val="en-US"/>
        </w:rPr>
      </w:pPr>
      <w:r w:rsidRPr="00BA5143">
        <w:rPr>
          <w:lang w:val="en-US"/>
        </w:rPr>
        <w:t>- development of standard operating procedures and regulations;</w:t>
      </w:r>
    </w:p>
    <w:p w:rsidR="005534AD" w:rsidRPr="00BA5143" w:rsidRDefault="005534AD" w:rsidP="005534AD">
      <w:pPr>
        <w:ind w:firstLine="567"/>
        <w:rPr>
          <w:lang w:val="en-US"/>
        </w:rPr>
      </w:pPr>
      <w:r w:rsidRPr="00BA5143">
        <w:rPr>
          <w:lang w:val="en-US"/>
        </w:rPr>
        <w:t>- coordination of procedural issues between structural divisions;</w:t>
      </w:r>
    </w:p>
    <w:p w:rsidR="005534AD" w:rsidRPr="00BA5143" w:rsidRDefault="005534AD" w:rsidP="005534AD">
      <w:pPr>
        <w:ind w:firstLine="567"/>
        <w:rPr>
          <w:lang w:val="en-US"/>
        </w:rPr>
      </w:pPr>
      <w:r w:rsidRPr="00BA5143">
        <w:rPr>
          <w:lang w:val="en-US"/>
        </w:rPr>
        <w:t>- presence and compliance of technological cards of transactions;</w:t>
      </w:r>
    </w:p>
    <w:p w:rsidR="005534AD" w:rsidRPr="00BA5143" w:rsidRDefault="005534AD" w:rsidP="005534AD">
      <w:pPr>
        <w:ind w:firstLine="567"/>
        <w:rPr>
          <w:lang w:val="en-US"/>
        </w:rPr>
      </w:pPr>
      <w:r w:rsidRPr="00BA5143">
        <w:rPr>
          <w:lang w:val="en-US"/>
        </w:rPr>
        <w:t>- Implementation of operational procedures in information systems;</w:t>
      </w:r>
    </w:p>
    <w:p w:rsidR="005534AD" w:rsidRPr="00BA5143" w:rsidRDefault="005534AD" w:rsidP="005534AD">
      <w:pPr>
        <w:ind w:firstLine="567"/>
        <w:rPr>
          <w:lang w:val="en-US"/>
        </w:rPr>
      </w:pPr>
      <w:r w:rsidRPr="00BA5143">
        <w:rPr>
          <w:lang w:val="en-US"/>
        </w:rPr>
        <w:t>- identification of the Bank's clients;</w:t>
      </w:r>
    </w:p>
    <w:p w:rsidR="005534AD" w:rsidRPr="00BA5143" w:rsidRDefault="005534AD" w:rsidP="005534AD">
      <w:pPr>
        <w:ind w:firstLine="567"/>
        <w:rPr>
          <w:lang w:val="en-US"/>
        </w:rPr>
      </w:pPr>
      <w:r w:rsidRPr="00BA5143">
        <w:rPr>
          <w:lang w:val="en-US"/>
        </w:rPr>
        <w:t>- analysis of the operation before its implementation;</w:t>
      </w:r>
    </w:p>
    <w:p w:rsidR="005534AD" w:rsidRPr="00BA5143" w:rsidRDefault="005534AD" w:rsidP="005534AD">
      <w:pPr>
        <w:ind w:firstLine="567"/>
        <w:rPr>
          <w:lang w:val="en-US"/>
        </w:rPr>
      </w:pPr>
      <w:r w:rsidRPr="00BA5143">
        <w:rPr>
          <w:lang w:val="en-US"/>
        </w:rPr>
        <w:t>- verification, authorization of documents;</w:t>
      </w:r>
    </w:p>
    <w:p w:rsidR="005534AD" w:rsidRPr="00BA5143" w:rsidRDefault="005534AD" w:rsidP="005534AD">
      <w:pPr>
        <w:ind w:firstLine="567"/>
        <w:rPr>
          <w:lang w:val="en-US"/>
        </w:rPr>
      </w:pPr>
      <w:r w:rsidRPr="00BA5143">
        <w:rPr>
          <w:lang w:val="en-US"/>
        </w:rPr>
        <w:t>- application of automated information processing systems in the course of operations, which accelerates the speed of execution and processing, reduces the proportion of "manual" information processing;</w:t>
      </w:r>
    </w:p>
    <w:p w:rsidR="005534AD" w:rsidRPr="00BA5143" w:rsidRDefault="005534AD" w:rsidP="005534AD">
      <w:pPr>
        <w:ind w:firstLine="567"/>
        <w:rPr>
          <w:lang w:val="en-US"/>
        </w:rPr>
      </w:pPr>
      <w:r w:rsidRPr="00BA5143">
        <w:rPr>
          <w:lang w:val="en-US"/>
        </w:rPr>
        <w:t>- a clear division of duties and responsibilities for the implementation of transactions;</w:t>
      </w:r>
    </w:p>
    <w:p w:rsidR="005534AD" w:rsidRPr="00BA5143" w:rsidRDefault="005534AD" w:rsidP="005534AD">
      <w:pPr>
        <w:ind w:firstLine="567"/>
        <w:rPr>
          <w:lang w:val="en-US"/>
        </w:rPr>
      </w:pPr>
      <w:r w:rsidRPr="00BA5143">
        <w:rPr>
          <w:lang w:val="en-US"/>
        </w:rPr>
        <w:t>- establishment of terms of work execution and control over their implementation;</w:t>
      </w:r>
    </w:p>
    <w:p w:rsidR="005534AD" w:rsidRPr="00BA5143" w:rsidRDefault="005534AD" w:rsidP="005534AD">
      <w:pPr>
        <w:ind w:firstLine="567"/>
        <w:rPr>
          <w:lang w:val="en-US"/>
        </w:rPr>
      </w:pPr>
      <w:r w:rsidRPr="00BA5143">
        <w:rPr>
          <w:lang w:val="en-US"/>
        </w:rPr>
        <w:t>- improvement of the control system of operational technological processes;</w:t>
      </w:r>
    </w:p>
    <w:p w:rsidR="005534AD" w:rsidRPr="00BA5143" w:rsidRDefault="005534AD" w:rsidP="005534AD">
      <w:pPr>
        <w:ind w:firstLine="567"/>
        <w:rPr>
          <w:lang w:val="en-US"/>
        </w:rPr>
      </w:pPr>
      <w:r w:rsidRPr="00BA5143">
        <w:rPr>
          <w:lang w:val="en-US"/>
        </w:rPr>
        <w:t>- introduction of modern information technology for data transmission, information security;</w:t>
      </w:r>
    </w:p>
    <w:p w:rsidR="005534AD" w:rsidRPr="00BA5143" w:rsidRDefault="005534AD" w:rsidP="005534AD">
      <w:pPr>
        <w:ind w:firstLine="567"/>
        <w:rPr>
          <w:lang w:val="en-US"/>
        </w:rPr>
      </w:pPr>
      <w:r w:rsidRPr="00BA5143">
        <w:rPr>
          <w:lang w:val="en-US"/>
        </w:rPr>
        <w:t>- development of job descriptions and thorough performance of their requirements by each employee;</w:t>
      </w:r>
    </w:p>
    <w:p w:rsidR="005534AD" w:rsidRPr="00BA5143" w:rsidRDefault="005534AD" w:rsidP="005534AD">
      <w:pPr>
        <w:ind w:firstLine="567"/>
        <w:rPr>
          <w:lang w:val="en-US"/>
        </w:rPr>
      </w:pPr>
      <w:r w:rsidRPr="00BA5143">
        <w:rPr>
          <w:lang w:val="en-US"/>
        </w:rPr>
        <w:t>- Collective decision-making on the basis of analysis of forecast calculations of certain types of operations;</w:t>
      </w:r>
    </w:p>
    <w:p w:rsidR="005534AD" w:rsidRPr="00BA5143" w:rsidRDefault="005534AD" w:rsidP="005534AD">
      <w:pPr>
        <w:ind w:firstLine="567"/>
        <w:rPr>
          <w:lang w:val="en-US"/>
        </w:rPr>
      </w:pPr>
      <w:r w:rsidRPr="00BA5143">
        <w:rPr>
          <w:lang w:val="en-US"/>
        </w:rPr>
        <w:t>- Timely and complete accounting of transactions with clients or counterparties, control over observance of the accounting policy of the Bank and requirements of regulatory acts of the National Bank of Ukraine;</w:t>
      </w:r>
    </w:p>
    <w:p w:rsidR="005534AD" w:rsidRPr="00BA5143" w:rsidRDefault="005534AD" w:rsidP="005534AD">
      <w:pPr>
        <w:ind w:firstLine="567"/>
        <w:rPr>
          <w:lang w:val="en-US"/>
        </w:rPr>
      </w:pPr>
      <w:r w:rsidRPr="00BA5143">
        <w:rPr>
          <w:lang w:val="en-US"/>
        </w:rPr>
        <w:t>- registration of incoming and outgoing correspondence of the Bank;</w:t>
      </w:r>
    </w:p>
    <w:p w:rsidR="005534AD" w:rsidRPr="00BA5143" w:rsidRDefault="005534AD" w:rsidP="005534AD">
      <w:pPr>
        <w:ind w:firstLine="567"/>
        <w:rPr>
          <w:lang w:val="en-US"/>
        </w:rPr>
      </w:pPr>
      <w:r w:rsidRPr="00BA5143">
        <w:rPr>
          <w:lang w:val="en-US"/>
        </w:rPr>
        <w:t>- providing current analytical information to the management with the help of automated means;</w:t>
      </w:r>
    </w:p>
    <w:p w:rsidR="005534AD" w:rsidRPr="00BA5143" w:rsidRDefault="005534AD" w:rsidP="005534AD">
      <w:pPr>
        <w:ind w:firstLine="567"/>
        <w:rPr>
          <w:lang w:val="en-US"/>
        </w:rPr>
      </w:pPr>
      <w:r w:rsidRPr="00BA5143">
        <w:rPr>
          <w:lang w:val="en-US"/>
        </w:rPr>
        <w:t>- creation of backup copies of the ODD, application of duplication and recovery processes.</w:t>
      </w:r>
    </w:p>
    <w:p w:rsidR="005534AD" w:rsidRPr="00BA5143" w:rsidRDefault="005534AD" w:rsidP="005534AD">
      <w:pPr>
        <w:ind w:firstLine="567"/>
        <w:rPr>
          <w:lang w:val="en-US"/>
        </w:rPr>
      </w:pPr>
      <w:r w:rsidRPr="00BA5143">
        <w:rPr>
          <w:lang w:val="en-US"/>
        </w:rPr>
        <w:t>- personnel training and training;</w:t>
      </w:r>
    </w:p>
    <w:p w:rsidR="005534AD" w:rsidRPr="00BA5143" w:rsidRDefault="005534AD" w:rsidP="005534AD">
      <w:pPr>
        <w:ind w:firstLine="567"/>
        <w:rPr>
          <w:lang w:val="en-US"/>
        </w:rPr>
      </w:pPr>
      <w:r w:rsidRPr="00BA5143">
        <w:rPr>
          <w:lang w:val="en-US"/>
        </w:rPr>
        <w:t>- encouragement and motivation of personnel in the proper and diligent performance of their official duties;</w:t>
      </w:r>
    </w:p>
    <w:p w:rsidR="00740E7F" w:rsidRPr="00BA5143" w:rsidRDefault="005534AD" w:rsidP="005534AD">
      <w:pPr>
        <w:ind w:firstLine="567"/>
        <w:rPr>
          <w:lang w:val="en-US"/>
        </w:rPr>
      </w:pPr>
      <w:r w:rsidRPr="00BA5143">
        <w:rPr>
          <w:lang w:val="en-US"/>
        </w:rPr>
        <w:t>- double control and verification of the compliance of the performers with particularly important and responsible technological procedures and operations.</w:t>
      </w:r>
    </w:p>
    <w:p w:rsidR="005534AD" w:rsidRPr="00BA5143" w:rsidRDefault="005534AD" w:rsidP="005534AD">
      <w:pPr>
        <w:rPr>
          <w:color w:val="000000"/>
          <w:lang w:val="en-US"/>
        </w:rPr>
      </w:pPr>
    </w:p>
    <w:p w:rsidR="00740E7F" w:rsidRPr="00BA5143" w:rsidRDefault="005534AD" w:rsidP="00740E7F">
      <w:pPr>
        <w:pStyle w:val="22"/>
        <w:spacing w:after="0" w:line="240" w:lineRule="auto"/>
        <w:jc w:val="both"/>
        <w:rPr>
          <w:b/>
          <w:color w:val="000000"/>
          <w:lang w:val="en-US"/>
        </w:rPr>
      </w:pPr>
      <w:r w:rsidRPr="00BA5143">
        <w:rPr>
          <w:b/>
          <w:color w:val="000000"/>
          <w:lang w:val="en-US"/>
        </w:rPr>
        <w:t>Legal risk</w:t>
      </w:r>
    </w:p>
    <w:p w:rsidR="005534AD" w:rsidRPr="00BA5143" w:rsidRDefault="005534AD" w:rsidP="00740E7F">
      <w:pPr>
        <w:pStyle w:val="22"/>
        <w:spacing w:after="0" w:line="240" w:lineRule="auto"/>
        <w:jc w:val="both"/>
        <w:rPr>
          <w:lang w:val="en-US"/>
        </w:rPr>
      </w:pPr>
    </w:p>
    <w:p w:rsidR="005534AD" w:rsidRPr="00BA5143" w:rsidRDefault="005534AD" w:rsidP="005534AD">
      <w:pPr>
        <w:shd w:val="clear" w:color="auto" w:fill="FFFFFF"/>
        <w:tabs>
          <w:tab w:val="right" w:pos="10065"/>
        </w:tabs>
        <w:ind w:right="11" w:firstLine="540"/>
        <w:jc w:val="both"/>
        <w:rPr>
          <w:lang w:val="en-US"/>
        </w:rPr>
      </w:pPr>
      <w:r w:rsidRPr="00BA5143">
        <w:rPr>
          <w:lang w:val="en-US"/>
        </w:rPr>
        <w:t>Legal risk is the probability of occurrence of losses or additional losses, or failure to receive the planned revenues as a result of failure of the parties to fulfill the terms of the contracts due to their non-compliance with the requirements of the legislation. Legal risk can lead to the payment of penalties and administrative penalties, the need for monetary damages, deteriorating reputation, worsening of the Bank's position on the market, narrowing the opportunities for development and reducing the possibilities of legal enforcement of transactions.</w:t>
      </w:r>
    </w:p>
    <w:p w:rsidR="005534AD" w:rsidRPr="00BA5143" w:rsidRDefault="005534AD" w:rsidP="005534AD">
      <w:pPr>
        <w:shd w:val="clear" w:color="auto" w:fill="FFFFFF"/>
        <w:tabs>
          <w:tab w:val="right" w:pos="10065"/>
        </w:tabs>
        <w:ind w:right="11" w:firstLine="540"/>
        <w:jc w:val="both"/>
        <w:rPr>
          <w:lang w:val="en-US"/>
        </w:rPr>
      </w:pPr>
      <w:r w:rsidRPr="00BA5143">
        <w:rPr>
          <w:lang w:val="en-US"/>
        </w:rPr>
        <w:t>The Bank is constantly implementing a number of measures to prevent and minimize legal risk, namely:</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t>compliance with the Laws of Ukraine and the regulatory documents of the National Bank of Ukraine;</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t>monitoring changes in legislation that may affect the Bank's financial position or cause changes in its operating parameters;</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lastRenderedPageBreak/>
        <w:t>conducting a check on the legitimacy and appropriateness of relations with clients and counteragents, including checking the compliance of all contracts and agreements with the current legislation of Ukraine;</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t>displaying in the regulations, instructions, orders and process charts of each process and operation;</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t>development of conditions for standard contracts concluded by the Bank and their timely review;</w:t>
      </w:r>
    </w:p>
    <w:p w:rsidR="005534AD" w:rsidRPr="00BA5143" w:rsidRDefault="005534AD" w:rsidP="005534AD">
      <w:pPr>
        <w:pStyle w:val="afc"/>
        <w:numPr>
          <w:ilvl w:val="0"/>
          <w:numId w:val="35"/>
        </w:numPr>
        <w:shd w:val="clear" w:color="auto" w:fill="FFFFFF"/>
        <w:tabs>
          <w:tab w:val="right" w:pos="10065"/>
        </w:tabs>
        <w:ind w:left="567" w:right="11" w:hanging="501"/>
        <w:jc w:val="both"/>
        <w:rPr>
          <w:lang w:val="en-US"/>
        </w:rPr>
      </w:pPr>
      <w:r w:rsidRPr="00BA5143">
        <w:rPr>
          <w:lang w:val="en-US"/>
        </w:rPr>
        <w:t>establishing appropriate control mechanisms (internal and external audit) to ensure compliance with the norms of legislation and regulations, requirements of the internal regulatory framework and concluded agreements.</w:t>
      </w:r>
    </w:p>
    <w:p w:rsidR="00740E7F" w:rsidRPr="00BA5143" w:rsidRDefault="00740E7F" w:rsidP="005534AD">
      <w:pPr>
        <w:pStyle w:val="22"/>
        <w:spacing w:after="0" w:line="240" w:lineRule="auto"/>
        <w:ind w:left="0"/>
        <w:jc w:val="both"/>
        <w:rPr>
          <w:lang w:val="en-US"/>
        </w:rPr>
      </w:pPr>
    </w:p>
    <w:p w:rsidR="00740E7F" w:rsidRPr="00BA5143" w:rsidRDefault="005534AD" w:rsidP="00740E7F">
      <w:pPr>
        <w:rPr>
          <w:b/>
          <w:lang w:val="en-US"/>
        </w:rPr>
      </w:pPr>
      <w:r w:rsidRPr="00BA5143">
        <w:rPr>
          <w:b/>
          <w:lang w:val="en-US"/>
        </w:rPr>
        <w:t>Strategic Risk</w:t>
      </w:r>
    </w:p>
    <w:p w:rsidR="005534AD" w:rsidRPr="00BA5143" w:rsidRDefault="005534AD" w:rsidP="00740E7F">
      <w:pPr>
        <w:rPr>
          <w:color w:val="000000"/>
          <w:lang w:val="en-US"/>
        </w:rPr>
      </w:pPr>
    </w:p>
    <w:p w:rsidR="005534AD" w:rsidRPr="00BA5143" w:rsidRDefault="005534AD" w:rsidP="005534AD">
      <w:pPr>
        <w:ind w:firstLine="426"/>
        <w:jc w:val="both"/>
        <w:rPr>
          <w:lang w:val="en-US"/>
        </w:rPr>
      </w:pPr>
      <w:r w:rsidRPr="00BA5143">
        <w:rPr>
          <w:lang w:val="en-US"/>
        </w:rPr>
        <w:t>Strategic risk is the probability of a loss or additional loss or lack of expected revenue due to improper management decisions and inadequate response to changes in the business environment.</w:t>
      </w:r>
    </w:p>
    <w:p w:rsidR="005534AD" w:rsidRPr="00BA5143" w:rsidRDefault="005534AD" w:rsidP="005534AD">
      <w:pPr>
        <w:ind w:firstLine="426"/>
        <w:jc w:val="both"/>
        <w:rPr>
          <w:lang w:val="en-US"/>
        </w:rPr>
      </w:pPr>
      <w:r w:rsidRPr="00BA5143">
        <w:rPr>
          <w:lang w:val="en-US"/>
        </w:rPr>
        <w:t>The Bank manages existing strategic risk by agreeing strategic goals, business strategies, resources, and the quality of the Bank's objectives. Strategic risk is assessed both quantitatively and qualitatively, namely:</w:t>
      </w:r>
    </w:p>
    <w:p w:rsidR="005534AD" w:rsidRPr="00BA5143" w:rsidRDefault="005534AD" w:rsidP="005534AD">
      <w:pPr>
        <w:ind w:firstLine="426"/>
        <w:jc w:val="both"/>
        <w:rPr>
          <w:lang w:val="en-US"/>
        </w:rPr>
      </w:pPr>
      <w:r w:rsidRPr="00BA5143">
        <w:rPr>
          <w:lang w:val="en-US"/>
        </w:rPr>
        <w:t>- Evaluation and identification of strengths and weaknesses, threats and capabilities of the Bank (SWOT analysis);</w:t>
      </w:r>
    </w:p>
    <w:p w:rsidR="005534AD" w:rsidRPr="00BA5143" w:rsidRDefault="005534AD" w:rsidP="005534AD">
      <w:pPr>
        <w:ind w:firstLine="426"/>
        <w:jc w:val="both"/>
        <w:rPr>
          <w:lang w:val="en-US"/>
        </w:rPr>
      </w:pPr>
      <w:r w:rsidRPr="00BA5143">
        <w:rPr>
          <w:lang w:val="en-US"/>
        </w:rPr>
        <w:t>- calculation of deviations of planned indicators from the actual results of work in fiscal year for a period not less than three years (strategic planning);</w:t>
      </w:r>
    </w:p>
    <w:p w:rsidR="005534AD" w:rsidRPr="00BA5143" w:rsidRDefault="005534AD" w:rsidP="005534AD">
      <w:pPr>
        <w:ind w:firstLine="426"/>
        <w:jc w:val="both"/>
        <w:rPr>
          <w:lang w:val="en-US"/>
        </w:rPr>
      </w:pPr>
      <w:r w:rsidRPr="00BA5143">
        <w:rPr>
          <w:lang w:val="en-US"/>
        </w:rPr>
        <w:t>- Assessment of the Bank's implementation of the strategic plan (including budget) and analysis of deviations.</w:t>
      </w:r>
    </w:p>
    <w:p w:rsidR="005534AD" w:rsidRPr="00BA5143" w:rsidRDefault="005534AD" w:rsidP="005534AD">
      <w:pPr>
        <w:ind w:firstLine="426"/>
        <w:jc w:val="both"/>
        <w:rPr>
          <w:lang w:val="en-US"/>
        </w:rPr>
      </w:pPr>
    </w:p>
    <w:p w:rsidR="00740E7F" w:rsidRPr="00BA5143" w:rsidRDefault="005534AD" w:rsidP="005534AD">
      <w:pPr>
        <w:ind w:firstLine="426"/>
        <w:jc w:val="both"/>
        <w:rPr>
          <w:lang w:val="en-US"/>
        </w:rPr>
      </w:pPr>
      <w:r w:rsidRPr="00BA5143">
        <w:rPr>
          <w:lang w:val="en-US"/>
        </w:rPr>
        <w:t>The strategic plan, if necessary, is considered and adjusted in accordance with changes in market conditions and needs of the Bank regarding financial, operational, technological and personnel resources.</w:t>
      </w:r>
    </w:p>
    <w:p w:rsidR="005534AD" w:rsidRPr="00BA5143" w:rsidRDefault="005534AD" w:rsidP="005534AD">
      <w:pPr>
        <w:jc w:val="both"/>
        <w:rPr>
          <w:b/>
          <w:lang w:val="en-US"/>
        </w:rPr>
      </w:pPr>
    </w:p>
    <w:p w:rsidR="00D87E3A" w:rsidRPr="00BA5143" w:rsidRDefault="00D87E3A" w:rsidP="00D87E3A">
      <w:pPr>
        <w:ind w:firstLine="567"/>
        <w:jc w:val="both"/>
        <w:rPr>
          <w:b/>
          <w:lang w:val="en-US"/>
        </w:rPr>
      </w:pPr>
      <w:r w:rsidRPr="00BA5143">
        <w:rPr>
          <w:b/>
          <w:lang w:val="en-US"/>
        </w:rPr>
        <w:t>NOTE 26. CAPITAL MANAGEMENT</w:t>
      </w:r>
    </w:p>
    <w:p w:rsidR="00D87E3A" w:rsidRPr="00BA5143" w:rsidRDefault="00D87E3A" w:rsidP="00D87E3A">
      <w:pPr>
        <w:ind w:firstLine="567"/>
        <w:jc w:val="both"/>
        <w:rPr>
          <w:b/>
          <w:lang w:val="en-US"/>
        </w:rPr>
      </w:pPr>
    </w:p>
    <w:p w:rsidR="008B0277" w:rsidRPr="00BA5143" w:rsidRDefault="00D87E3A" w:rsidP="00D87E3A">
      <w:pPr>
        <w:ind w:firstLine="567"/>
        <w:jc w:val="both"/>
        <w:rPr>
          <w:bCs/>
          <w:lang w:val="en-US"/>
        </w:rPr>
      </w:pPr>
      <w:r w:rsidRPr="00BA5143">
        <w:rPr>
          <w:bCs/>
          <w:lang w:val="en-US"/>
        </w:rPr>
        <w:t>The Bank's capital management policy based on understanding the nature and character of the bank's activities to the definition of the risks inherent in the Bank's operations and determining their effects on the sufficiency of equity. The Bank recognizes that the primary purpose of capital is to cover a variety of risks and ensure the protection of deposits, financial sustainability and stable operations.</w:t>
      </w:r>
    </w:p>
    <w:p w:rsidR="00D87E3A" w:rsidRPr="00BA5143" w:rsidRDefault="00D87E3A" w:rsidP="00D87E3A">
      <w:pPr>
        <w:ind w:firstLine="567"/>
        <w:jc w:val="both"/>
        <w:rPr>
          <w:b/>
          <w:lang w:val="en-US"/>
        </w:rPr>
      </w:pPr>
    </w:p>
    <w:p w:rsidR="00CD74BA" w:rsidRPr="00BA5143" w:rsidRDefault="00CD74BA" w:rsidP="00CD74BA">
      <w:pPr>
        <w:ind w:firstLine="567"/>
        <w:rPr>
          <w:lang w:val="en-US"/>
        </w:rPr>
      </w:pPr>
      <w:r w:rsidRPr="00BA5143">
        <w:rPr>
          <w:b/>
          <w:lang w:val="en-US"/>
        </w:rPr>
        <w:t>Table 26.1. The structure of the regulatory capital</w:t>
      </w:r>
      <w:r w:rsidR="00446BE9" w:rsidRPr="00BA5143">
        <w:rPr>
          <w:lang w:val="en-US"/>
        </w:rPr>
        <w:t xml:space="preserve">   </w:t>
      </w:r>
    </w:p>
    <w:p w:rsidR="00CD74BA" w:rsidRPr="00BA5143" w:rsidRDefault="00CD74BA" w:rsidP="00CD74BA">
      <w:pPr>
        <w:spacing w:line="240" w:lineRule="exact"/>
        <w:ind w:firstLine="567"/>
        <w:jc w:val="right"/>
        <w:rPr>
          <w:lang w:val="en-US"/>
        </w:rPr>
      </w:pPr>
      <w:r w:rsidRPr="00BA5143">
        <w:rPr>
          <w:lang w:val="en-US"/>
        </w:rPr>
        <w:t>(ths. UAH.)</w:t>
      </w:r>
    </w:p>
    <w:tbl>
      <w:tblPr>
        <w:tblW w:w="8814" w:type="dxa"/>
        <w:tblInd w:w="93" w:type="dxa"/>
        <w:tblLook w:val="04A0"/>
      </w:tblPr>
      <w:tblGrid>
        <w:gridCol w:w="1060"/>
        <w:gridCol w:w="5334"/>
        <w:gridCol w:w="1240"/>
        <w:gridCol w:w="1180"/>
      </w:tblGrid>
      <w:tr w:rsidR="00CD74BA" w:rsidRPr="00BA5143" w:rsidTr="00CD74BA">
        <w:trPr>
          <w:trHeight w:val="255"/>
        </w:trPr>
        <w:tc>
          <w:tcPr>
            <w:tcW w:w="1060" w:type="dxa"/>
            <w:tcBorders>
              <w:top w:val="single" w:sz="8" w:space="0" w:color="auto"/>
              <w:left w:val="single" w:sz="8" w:space="0" w:color="auto"/>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Line </w:t>
            </w:r>
          </w:p>
        </w:tc>
        <w:tc>
          <w:tcPr>
            <w:tcW w:w="5334" w:type="dxa"/>
            <w:tcBorders>
              <w:top w:val="single" w:sz="8" w:space="0" w:color="auto"/>
              <w:left w:val="nil"/>
              <w:bottom w:val="single" w:sz="4" w:space="0" w:color="000000"/>
              <w:right w:val="single" w:sz="4" w:space="0" w:color="000000"/>
            </w:tcBorders>
            <w:vAlign w:val="bottom"/>
            <w:hideMark/>
          </w:tcPr>
          <w:p w:rsidR="00CD74BA" w:rsidRPr="00BA5143" w:rsidRDefault="00D33BE9">
            <w:pPr>
              <w:jc w:val="center"/>
              <w:rPr>
                <w:sz w:val="20"/>
                <w:szCs w:val="20"/>
                <w:lang w:val="en-US"/>
              </w:rPr>
            </w:pPr>
            <w:r w:rsidRPr="00BA5143">
              <w:rPr>
                <w:sz w:val="20"/>
                <w:szCs w:val="20"/>
                <w:lang w:val="en-US"/>
              </w:rPr>
              <w:t>Item</w:t>
            </w:r>
          </w:p>
        </w:tc>
        <w:tc>
          <w:tcPr>
            <w:tcW w:w="1240" w:type="dxa"/>
            <w:tcBorders>
              <w:top w:val="single" w:sz="8" w:space="0" w:color="auto"/>
              <w:left w:val="nil"/>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2018</w:t>
            </w:r>
          </w:p>
        </w:tc>
        <w:tc>
          <w:tcPr>
            <w:tcW w:w="1180" w:type="dxa"/>
            <w:tcBorders>
              <w:top w:val="single" w:sz="8" w:space="0" w:color="auto"/>
              <w:left w:val="nil"/>
              <w:bottom w:val="single" w:sz="4" w:space="0" w:color="000000"/>
              <w:right w:val="single" w:sz="8" w:space="0" w:color="auto"/>
            </w:tcBorders>
            <w:vAlign w:val="bottom"/>
            <w:hideMark/>
          </w:tcPr>
          <w:p w:rsidR="00CD74BA" w:rsidRPr="00BA5143" w:rsidRDefault="00CD74BA">
            <w:pPr>
              <w:jc w:val="center"/>
              <w:rPr>
                <w:sz w:val="20"/>
                <w:szCs w:val="20"/>
                <w:lang w:val="en-US"/>
              </w:rPr>
            </w:pPr>
            <w:r w:rsidRPr="00BA5143">
              <w:rPr>
                <w:sz w:val="20"/>
                <w:szCs w:val="20"/>
                <w:lang w:val="en-US"/>
              </w:rPr>
              <w:t>2017</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1 </w:t>
            </w:r>
          </w:p>
        </w:tc>
        <w:tc>
          <w:tcPr>
            <w:tcW w:w="5334" w:type="dxa"/>
            <w:tcBorders>
              <w:top w:val="nil"/>
              <w:left w:val="nil"/>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2 </w:t>
            </w:r>
          </w:p>
        </w:tc>
        <w:tc>
          <w:tcPr>
            <w:tcW w:w="1240" w:type="dxa"/>
            <w:tcBorders>
              <w:top w:val="nil"/>
              <w:left w:val="nil"/>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3 </w:t>
            </w:r>
          </w:p>
        </w:tc>
        <w:tc>
          <w:tcPr>
            <w:tcW w:w="1180" w:type="dxa"/>
            <w:tcBorders>
              <w:top w:val="nil"/>
              <w:left w:val="nil"/>
              <w:bottom w:val="single" w:sz="4" w:space="0" w:color="000000"/>
              <w:right w:val="single" w:sz="8" w:space="0" w:color="auto"/>
            </w:tcBorders>
            <w:vAlign w:val="bottom"/>
            <w:hideMark/>
          </w:tcPr>
          <w:p w:rsidR="00CD74BA" w:rsidRPr="00BA5143" w:rsidRDefault="00CD74BA">
            <w:pPr>
              <w:jc w:val="center"/>
              <w:rPr>
                <w:sz w:val="20"/>
                <w:szCs w:val="20"/>
                <w:lang w:val="en-US"/>
              </w:rPr>
            </w:pPr>
            <w:r w:rsidRPr="00BA5143">
              <w:rPr>
                <w:sz w:val="20"/>
                <w:szCs w:val="20"/>
                <w:lang w:val="en-US"/>
              </w:rPr>
              <w:t>4 </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Fixed assets</w:t>
            </w:r>
          </w:p>
        </w:tc>
        <w:tc>
          <w:tcPr>
            <w:tcW w:w="1240" w:type="dxa"/>
            <w:tcBorders>
              <w:top w:val="nil"/>
              <w:left w:val="nil"/>
              <w:bottom w:val="single" w:sz="4" w:space="0" w:color="000000"/>
              <w:right w:val="single" w:sz="4" w:space="0" w:color="000000"/>
            </w:tcBorders>
            <w:vAlign w:val="bottom"/>
            <w:hideMark/>
          </w:tcPr>
          <w:p w:rsidR="00CD74BA" w:rsidRPr="00BA5143" w:rsidRDefault="00CD74BA">
            <w:pPr>
              <w:jc w:val="center"/>
              <w:rPr>
                <w:sz w:val="20"/>
                <w:szCs w:val="20"/>
                <w:lang w:val="en-US"/>
              </w:rPr>
            </w:pPr>
            <w:r w:rsidRPr="00BA5143">
              <w:rPr>
                <w:sz w:val="20"/>
                <w:szCs w:val="20"/>
                <w:lang w:val="en-US"/>
              </w:rPr>
              <w:t>  </w:t>
            </w:r>
          </w:p>
        </w:tc>
        <w:tc>
          <w:tcPr>
            <w:tcW w:w="1180" w:type="dxa"/>
            <w:tcBorders>
              <w:top w:val="nil"/>
              <w:left w:val="nil"/>
              <w:bottom w:val="single" w:sz="4" w:space="0" w:color="000000"/>
              <w:right w:val="single" w:sz="8" w:space="0" w:color="auto"/>
            </w:tcBorders>
            <w:vAlign w:val="bottom"/>
            <w:hideMark/>
          </w:tcPr>
          <w:p w:rsidR="00CD74BA" w:rsidRPr="00BA5143" w:rsidRDefault="00CD74BA">
            <w:pPr>
              <w:jc w:val="center"/>
              <w:rPr>
                <w:sz w:val="20"/>
                <w:szCs w:val="20"/>
                <w:lang w:val="en-US"/>
              </w:rPr>
            </w:pPr>
            <w:r w:rsidRPr="00BA5143">
              <w:rPr>
                <w:sz w:val="20"/>
                <w:szCs w:val="20"/>
                <w:lang w:val="en-US"/>
              </w:rPr>
              <w:t>  </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1.1</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Actually paid registered authorized capital</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244 000</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244 000</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1.2</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Reserve funds</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4 044</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4 044</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1.3</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Additional capital</w:t>
            </w:r>
          </w:p>
        </w:tc>
        <w:tc>
          <w:tcPr>
            <w:tcW w:w="1240" w:type="dxa"/>
            <w:tcBorders>
              <w:top w:val="nil"/>
              <w:left w:val="nil"/>
              <w:bottom w:val="single" w:sz="4" w:space="0" w:color="000000"/>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(262)</w:t>
            </w:r>
          </w:p>
        </w:tc>
        <w:tc>
          <w:tcPr>
            <w:tcW w:w="1180" w:type="dxa"/>
            <w:tcBorders>
              <w:top w:val="nil"/>
              <w:left w:val="single" w:sz="4" w:space="0" w:color="000000"/>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(262)</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1.4</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Reduction of fixed capital</w:t>
            </w:r>
          </w:p>
        </w:tc>
        <w:tc>
          <w:tcPr>
            <w:tcW w:w="1240" w:type="dxa"/>
            <w:tcBorders>
              <w:top w:val="nil"/>
              <w:left w:val="nil"/>
              <w:bottom w:val="single" w:sz="4" w:space="0" w:color="000000"/>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(63 412)</w:t>
            </w:r>
          </w:p>
        </w:tc>
        <w:tc>
          <w:tcPr>
            <w:tcW w:w="1180" w:type="dxa"/>
            <w:tcBorders>
              <w:top w:val="nil"/>
              <w:left w:val="single" w:sz="4" w:space="0" w:color="000000"/>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(63 336)</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1.4.1</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Intangible assets minus the amount of wear</w:t>
            </w:r>
          </w:p>
        </w:tc>
        <w:tc>
          <w:tcPr>
            <w:tcW w:w="1240" w:type="dxa"/>
            <w:tcBorders>
              <w:top w:val="nil"/>
              <w:left w:val="nil"/>
              <w:bottom w:val="single" w:sz="4" w:space="0" w:color="000000"/>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(191)</w:t>
            </w:r>
          </w:p>
        </w:tc>
        <w:tc>
          <w:tcPr>
            <w:tcW w:w="1180" w:type="dxa"/>
            <w:tcBorders>
              <w:top w:val="nil"/>
              <w:left w:val="single" w:sz="4" w:space="0" w:color="000000"/>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(115)</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1.4.2</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Losses of past years</w:t>
            </w:r>
          </w:p>
        </w:tc>
        <w:tc>
          <w:tcPr>
            <w:tcW w:w="1240" w:type="dxa"/>
            <w:tcBorders>
              <w:top w:val="nil"/>
              <w:left w:val="nil"/>
              <w:bottom w:val="single" w:sz="4" w:space="0" w:color="000000"/>
              <w:right w:val="single" w:sz="4" w:space="0" w:color="auto"/>
            </w:tcBorders>
            <w:vAlign w:val="center"/>
            <w:hideMark/>
          </w:tcPr>
          <w:p w:rsidR="00CD74BA" w:rsidRPr="00BA5143" w:rsidRDefault="00CD74BA">
            <w:pPr>
              <w:jc w:val="right"/>
              <w:rPr>
                <w:sz w:val="20"/>
                <w:szCs w:val="20"/>
                <w:lang w:val="en-US"/>
              </w:rPr>
            </w:pPr>
            <w:r w:rsidRPr="00BA5143">
              <w:rPr>
                <w:sz w:val="20"/>
                <w:szCs w:val="20"/>
                <w:lang w:val="en-US"/>
              </w:rPr>
              <w:t>(63 221)</w:t>
            </w:r>
          </w:p>
        </w:tc>
        <w:tc>
          <w:tcPr>
            <w:tcW w:w="1180" w:type="dxa"/>
            <w:tcBorders>
              <w:top w:val="nil"/>
              <w:left w:val="single" w:sz="4" w:space="0" w:color="000000"/>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(61 809)</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1.4.3</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Estimated loss of current year</w:t>
            </w:r>
          </w:p>
        </w:tc>
        <w:tc>
          <w:tcPr>
            <w:tcW w:w="1240" w:type="dxa"/>
            <w:tcBorders>
              <w:top w:val="nil"/>
              <w:left w:val="nil"/>
              <w:bottom w:val="single" w:sz="4" w:space="0" w:color="000000"/>
              <w:right w:val="nil"/>
            </w:tcBorders>
            <w:vAlign w:val="center"/>
            <w:hideMark/>
          </w:tcPr>
          <w:p w:rsidR="00CD74BA" w:rsidRPr="00BA5143" w:rsidRDefault="00CD74BA">
            <w:pPr>
              <w:jc w:val="right"/>
              <w:rPr>
                <w:sz w:val="20"/>
                <w:szCs w:val="20"/>
                <w:lang w:val="en-US"/>
              </w:rPr>
            </w:pPr>
            <w:r w:rsidRPr="00BA5143">
              <w:rPr>
                <w:sz w:val="20"/>
                <w:szCs w:val="20"/>
                <w:lang w:val="en-US"/>
              </w:rPr>
              <w:t>-</w:t>
            </w:r>
          </w:p>
        </w:tc>
        <w:tc>
          <w:tcPr>
            <w:tcW w:w="1180" w:type="dxa"/>
            <w:tcBorders>
              <w:top w:val="nil"/>
              <w:left w:val="single" w:sz="4" w:space="0" w:color="000000"/>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(1 412)</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b/>
                <w:bCs/>
                <w:sz w:val="20"/>
                <w:szCs w:val="20"/>
                <w:lang w:val="en-US"/>
              </w:rPr>
            </w:pPr>
            <w:r w:rsidRPr="00BA5143">
              <w:rPr>
                <w:b/>
                <w:bCs/>
                <w:sz w:val="20"/>
                <w:szCs w:val="20"/>
                <w:lang w:val="en-US"/>
              </w:rPr>
              <w:t xml:space="preserve"> 1.5</w:t>
            </w:r>
          </w:p>
        </w:tc>
        <w:tc>
          <w:tcPr>
            <w:tcW w:w="5334" w:type="dxa"/>
            <w:tcBorders>
              <w:top w:val="nil"/>
              <w:left w:val="nil"/>
              <w:bottom w:val="single" w:sz="4" w:space="0" w:color="000000"/>
              <w:right w:val="single" w:sz="4" w:space="0" w:color="000000"/>
            </w:tcBorders>
            <w:hideMark/>
          </w:tcPr>
          <w:p w:rsidR="00CD74BA" w:rsidRPr="00BA5143" w:rsidRDefault="00CD74BA">
            <w:pPr>
              <w:rPr>
                <w:b/>
                <w:bCs/>
                <w:sz w:val="20"/>
                <w:szCs w:val="20"/>
                <w:lang w:val="en-US"/>
              </w:rPr>
            </w:pPr>
            <w:r w:rsidRPr="00BA5143">
              <w:rPr>
                <w:b/>
                <w:bCs/>
                <w:sz w:val="20"/>
                <w:szCs w:val="20"/>
                <w:lang w:val="en-US"/>
              </w:rPr>
              <w:t>Total fixed capital</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b/>
                <w:bCs/>
                <w:sz w:val="20"/>
                <w:szCs w:val="20"/>
                <w:lang w:val="en-US"/>
              </w:rPr>
            </w:pPr>
            <w:r w:rsidRPr="00BA5143">
              <w:rPr>
                <w:b/>
                <w:bCs/>
                <w:sz w:val="20"/>
                <w:szCs w:val="20"/>
                <w:lang w:val="en-US"/>
              </w:rPr>
              <w:t>184 371</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b/>
                <w:bCs/>
                <w:sz w:val="20"/>
                <w:szCs w:val="20"/>
                <w:lang w:val="en-US"/>
              </w:rPr>
            </w:pPr>
            <w:r w:rsidRPr="00BA5143">
              <w:rPr>
                <w:b/>
                <w:bCs/>
                <w:sz w:val="20"/>
                <w:szCs w:val="20"/>
                <w:lang w:val="en-US"/>
              </w:rPr>
              <w:t>184 446</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Additional capital</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 </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 </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2.1.</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Estimated profit for the current year</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13 434</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lastRenderedPageBreak/>
              <w:t>2.1.1</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Profit of the reporting year</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8 151</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2.1.2.</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Other comprehensive income (result of adjustment of the cost of a financial instrument during initial recognition</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5 352</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2.1.3.</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Uncovered credit risk</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(69)</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2.1.4.</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Accrued income, expiration date</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(22)</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2.1.5.</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Part of the amount of the current provision for an active banking transaction, accrued from accrued income that has not been received over 30 days</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22</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sz w:val="20"/>
                <w:szCs w:val="20"/>
                <w:lang w:val="en-US"/>
              </w:rPr>
            </w:pPr>
            <w:r w:rsidRPr="00BA5143">
              <w:rPr>
                <w:sz w:val="20"/>
                <w:szCs w:val="20"/>
                <w:lang w:val="en-US"/>
              </w:rPr>
              <w:t xml:space="preserve"> 2.2</w:t>
            </w:r>
          </w:p>
        </w:tc>
        <w:tc>
          <w:tcPr>
            <w:tcW w:w="5334" w:type="dxa"/>
            <w:tcBorders>
              <w:top w:val="nil"/>
              <w:left w:val="nil"/>
              <w:bottom w:val="single" w:sz="4" w:space="0" w:color="000000"/>
              <w:right w:val="single" w:sz="4" w:space="0" w:color="000000"/>
            </w:tcBorders>
            <w:hideMark/>
          </w:tcPr>
          <w:p w:rsidR="00CD74BA" w:rsidRPr="00BA5143" w:rsidRDefault="00CD74BA">
            <w:pPr>
              <w:rPr>
                <w:sz w:val="20"/>
                <w:szCs w:val="20"/>
                <w:lang w:val="en-US"/>
              </w:rPr>
            </w:pPr>
            <w:r w:rsidRPr="00BA5143">
              <w:rPr>
                <w:sz w:val="20"/>
                <w:szCs w:val="20"/>
                <w:lang w:val="en-US"/>
              </w:rPr>
              <w:t>Subordinated debt that is accounted for by capital</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sz w:val="20"/>
                <w:szCs w:val="20"/>
                <w:lang w:val="en-US"/>
              </w:rPr>
            </w:pPr>
            <w:r w:rsidRPr="00BA5143">
              <w:rPr>
                <w:sz w:val="20"/>
                <w:szCs w:val="20"/>
                <w:lang w:val="en-US"/>
              </w:rPr>
              <w:t>31 100</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sz w:val="20"/>
                <w:szCs w:val="20"/>
                <w:lang w:val="en-US"/>
              </w:rPr>
            </w:pPr>
            <w:r w:rsidRPr="00BA5143">
              <w:rPr>
                <w:sz w:val="20"/>
                <w:szCs w:val="20"/>
                <w:lang w:val="en-US"/>
              </w:rPr>
              <w:t>25 600</w:t>
            </w:r>
          </w:p>
        </w:tc>
      </w:tr>
      <w:tr w:rsidR="00CD74BA" w:rsidRPr="00BA5143" w:rsidTr="00CD74BA">
        <w:trPr>
          <w:trHeight w:val="255"/>
        </w:trPr>
        <w:tc>
          <w:tcPr>
            <w:tcW w:w="1060" w:type="dxa"/>
            <w:tcBorders>
              <w:top w:val="nil"/>
              <w:left w:val="single" w:sz="8" w:space="0" w:color="auto"/>
              <w:bottom w:val="single" w:sz="4" w:space="0" w:color="000000"/>
              <w:right w:val="single" w:sz="4" w:space="0" w:color="000000"/>
            </w:tcBorders>
            <w:vAlign w:val="center"/>
            <w:hideMark/>
          </w:tcPr>
          <w:p w:rsidR="00CD74BA" w:rsidRPr="00BA5143" w:rsidRDefault="00CD74BA">
            <w:pPr>
              <w:jc w:val="center"/>
              <w:rPr>
                <w:b/>
                <w:bCs/>
                <w:sz w:val="20"/>
                <w:szCs w:val="20"/>
                <w:lang w:val="en-US"/>
              </w:rPr>
            </w:pPr>
            <w:r w:rsidRPr="00BA5143">
              <w:rPr>
                <w:b/>
                <w:bCs/>
                <w:sz w:val="20"/>
                <w:szCs w:val="20"/>
                <w:lang w:val="en-US"/>
              </w:rPr>
              <w:t xml:space="preserve"> 2.3</w:t>
            </w:r>
          </w:p>
        </w:tc>
        <w:tc>
          <w:tcPr>
            <w:tcW w:w="5334" w:type="dxa"/>
            <w:tcBorders>
              <w:top w:val="nil"/>
              <w:left w:val="nil"/>
              <w:bottom w:val="single" w:sz="4" w:space="0" w:color="000000"/>
              <w:right w:val="single" w:sz="4" w:space="0" w:color="000000"/>
            </w:tcBorders>
            <w:hideMark/>
          </w:tcPr>
          <w:p w:rsidR="00CD74BA" w:rsidRPr="00BA5143" w:rsidRDefault="00CD74BA">
            <w:pPr>
              <w:rPr>
                <w:b/>
                <w:bCs/>
                <w:sz w:val="20"/>
                <w:szCs w:val="20"/>
                <w:lang w:val="en-US"/>
              </w:rPr>
            </w:pPr>
            <w:r w:rsidRPr="00BA5143">
              <w:rPr>
                <w:b/>
                <w:bCs/>
                <w:sz w:val="20"/>
                <w:szCs w:val="20"/>
                <w:lang w:val="en-US"/>
              </w:rPr>
              <w:t>Total additional capital</w:t>
            </w:r>
          </w:p>
        </w:tc>
        <w:tc>
          <w:tcPr>
            <w:tcW w:w="1240" w:type="dxa"/>
            <w:tcBorders>
              <w:top w:val="nil"/>
              <w:left w:val="nil"/>
              <w:bottom w:val="single" w:sz="4" w:space="0" w:color="000000"/>
              <w:right w:val="single" w:sz="4" w:space="0" w:color="000000"/>
            </w:tcBorders>
            <w:vAlign w:val="center"/>
            <w:hideMark/>
          </w:tcPr>
          <w:p w:rsidR="00CD74BA" w:rsidRPr="00BA5143" w:rsidRDefault="00CD74BA">
            <w:pPr>
              <w:jc w:val="right"/>
              <w:rPr>
                <w:b/>
                <w:bCs/>
                <w:sz w:val="20"/>
                <w:szCs w:val="20"/>
                <w:lang w:val="en-US"/>
              </w:rPr>
            </w:pPr>
            <w:r w:rsidRPr="00BA5143">
              <w:rPr>
                <w:b/>
                <w:bCs/>
                <w:sz w:val="20"/>
                <w:szCs w:val="20"/>
                <w:lang w:val="en-US"/>
              </w:rPr>
              <w:t>44 534</w:t>
            </w:r>
          </w:p>
        </w:tc>
        <w:tc>
          <w:tcPr>
            <w:tcW w:w="1180" w:type="dxa"/>
            <w:tcBorders>
              <w:top w:val="nil"/>
              <w:left w:val="nil"/>
              <w:bottom w:val="single" w:sz="4" w:space="0" w:color="000000"/>
              <w:right w:val="single" w:sz="8" w:space="0" w:color="auto"/>
            </w:tcBorders>
            <w:vAlign w:val="center"/>
            <w:hideMark/>
          </w:tcPr>
          <w:p w:rsidR="00CD74BA" w:rsidRPr="00BA5143" w:rsidRDefault="00CD74BA">
            <w:pPr>
              <w:jc w:val="right"/>
              <w:rPr>
                <w:b/>
                <w:bCs/>
                <w:sz w:val="20"/>
                <w:szCs w:val="20"/>
                <w:lang w:val="en-US"/>
              </w:rPr>
            </w:pPr>
            <w:r w:rsidRPr="00BA5143">
              <w:rPr>
                <w:b/>
                <w:bCs/>
                <w:sz w:val="20"/>
                <w:szCs w:val="20"/>
                <w:lang w:val="en-US"/>
              </w:rPr>
              <w:t>25 600</w:t>
            </w:r>
          </w:p>
        </w:tc>
      </w:tr>
      <w:tr w:rsidR="00CD74BA" w:rsidRPr="00BA5143" w:rsidTr="00CD74BA">
        <w:trPr>
          <w:trHeight w:val="270"/>
        </w:trPr>
        <w:tc>
          <w:tcPr>
            <w:tcW w:w="1060" w:type="dxa"/>
            <w:tcBorders>
              <w:top w:val="nil"/>
              <w:left w:val="single" w:sz="8" w:space="0" w:color="auto"/>
              <w:bottom w:val="single" w:sz="8" w:space="0" w:color="auto"/>
              <w:right w:val="single" w:sz="4" w:space="0" w:color="000000"/>
            </w:tcBorders>
            <w:vAlign w:val="bottom"/>
            <w:hideMark/>
          </w:tcPr>
          <w:p w:rsidR="00CD74BA" w:rsidRPr="00BA5143" w:rsidRDefault="00CD74BA">
            <w:pPr>
              <w:jc w:val="center"/>
              <w:rPr>
                <w:b/>
                <w:bCs/>
                <w:sz w:val="20"/>
                <w:szCs w:val="20"/>
                <w:lang w:val="en-US"/>
              </w:rPr>
            </w:pPr>
            <w:r w:rsidRPr="00BA5143">
              <w:rPr>
                <w:b/>
                <w:bCs/>
                <w:sz w:val="20"/>
                <w:szCs w:val="20"/>
                <w:lang w:val="en-US"/>
              </w:rPr>
              <w:t>3</w:t>
            </w:r>
          </w:p>
        </w:tc>
        <w:tc>
          <w:tcPr>
            <w:tcW w:w="5334" w:type="dxa"/>
            <w:tcBorders>
              <w:top w:val="nil"/>
              <w:left w:val="nil"/>
              <w:bottom w:val="single" w:sz="8" w:space="0" w:color="auto"/>
              <w:right w:val="single" w:sz="4" w:space="0" w:color="000000"/>
            </w:tcBorders>
            <w:hideMark/>
          </w:tcPr>
          <w:p w:rsidR="00CD74BA" w:rsidRPr="00BA5143" w:rsidRDefault="00CD74BA">
            <w:pPr>
              <w:rPr>
                <w:b/>
                <w:bCs/>
                <w:sz w:val="20"/>
                <w:szCs w:val="20"/>
                <w:lang w:val="en-US"/>
              </w:rPr>
            </w:pPr>
            <w:r w:rsidRPr="00BA5143">
              <w:rPr>
                <w:b/>
                <w:bCs/>
                <w:sz w:val="20"/>
                <w:szCs w:val="20"/>
                <w:lang w:val="en-US"/>
              </w:rPr>
              <w:t>Total regulatory capital</w:t>
            </w:r>
          </w:p>
        </w:tc>
        <w:tc>
          <w:tcPr>
            <w:tcW w:w="1240" w:type="dxa"/>
            <w:tcBorders>
              <w:top w:val="nil"/>
              <w:left w:val="nil"/>
              <w:bottom w:val="single" w:sz="8" w:space="0" w:color="auto"/>
              <w:right w:val="single" w:sz="4" w:space="0" w:color="000000"/>
            </w:tcBorders>
            <w:vAlign w:val="center"/>
            <w:hideMark/>
          </w:tcPr>
          <w:p w:rsidR="00CD74BA" w:rsidRPr="00BA5143" w:rsidRDefault="00CD74BA">
            <w:pPr>
              <w:jc w:val="right"/>
              <w:rPr>
                <w:b/>
                <w:bCs/>
                <w:sz w:val="20"/>
                <w:szCs w:val="20"/>
                <w:lang w:val="en-US"/>
              </w:rPr>
            </w:pPr>
            <w:r w:rsidRPr="00BA5143">
              <w:rPr>
                <w:b/>
                <w:bCs/>
                <w:sz w:val="20"/>
                <w:szCs w:val="20"/>
                <w:lang w:val="en-US"/>
              </w:rPr>
              <w:t>228 905</w:t>
            </w:r>
          </w:p>
        </w:tc>
        <w:tc>
          <w:tcPr>
            <w:tcW w:w="1180" w:type="dxa"/>
            <w:tcBorders>
              <w:top w:val="nil"/>
              <w:left w:val="nil"/>
              <w:bottom w:val="single" w:sz="8" w:space="0" w:color="auto"/>
              <w:right w:val="single" w:sz="8" w:space="0" w:color="auto"/>
            </w:tcBorders>
            <w:vAlign w:val="center"/>
            <w:hideMark/>
          </w:tcPr>
          <w:p w:rsidR="00CD74BA" w:rsidRPr="00BA5143" w:rsidRDefault="00CD74BA">
            <w:pPr>
              <w:jc w:val="right"/>
              <w:rPr>
                <w:b/>
                <w:bCs/>
                <w:sz w:val="20"/>
                <w:szCs w:val="20"/>
                <w:lang w:val="en-US"/>
              </w:rPr>
            </w:pPr>
            <w:r w:rsidRPr="00BA5143">
              <w:rPr>
                <w:b/>
                <w:bCs/>
                <w:sz w:val="20"/>
                <w:szCs w:val="20"/>
                <w:lang w:val="en-US"/>
              </w:rPr>
              <w:t>210 046</w:t>
            </w:r>
          </w:p>
        </w:tc>
      </w:tr>
    </w:tbl>
    <w:p w:rsidR="00D33BE9" w:rsidRPr="00BA5143" w:rsidRDefault="00D33BE9" w:rsidP="00FC4C22">
      <w:pPr>
        <w:ind w:firstLine="708"/>
        <w:jc w:val="both"/>
        <w:rPr>
          <w:lang w:val="en-US"/>
        </w:rPr>
      </w:pPr>
    </w:p>
    <w:p w:rsidR="00D33BE9" w:rsidRPr="00BA5143" w:rsidRDefault="00D33BE9" w:rsidP="00FC4C22">
      <w:pPr>
        <w:ind w:firstLine="708"/>
        <w:jc w:val="both"/>
        <w:rPr>
          <w:lang w:val="en-US"/>
        </w:rPr>
      </w:pPr>
    </w:p>
    <w:p w:rsidR="00FC4C22" w:rsidRPr="00BA5143" w:rsidRDefault="00D87E3A" w:rsidP="00FC4C22">
      <w:pPr>
        <w:ind w:firstLine="708"/>
        <w:jc w:val="both"/>
        <w:rPr>
          <w:lang w:val="en-US"/>
        </w:rPr>
      </w:pPr>
      <w:r w:rsidRPr="00BA5143">
        <w:rPr>
          <w:lang w:val="en-US"/>
        </w:rPr>
        <w:t>Actual values of the norm of adequacy of regulatory capital (at the normative value of at least 10%) during the reporting year (compared to the previous year) were not only met, but also had a significant margin of compliance:</w:t>
      </w:r>
    </w:p>
    <w:p w:rsidR="00D33BE9" w:rsidRPr="00BA5143" w:rsidRDefault="00D33BE9" w:rsidP="00FC4C22">
      <w:pPr>
        <w:ind w:firstLine="708"/>
        <w:jc w:val="both"/>
        <w:rPr>
          <w:lang w:val="en-US"/>
        </w:rPr>
      </w:pPr>
    </w:p>
    <w:tbl>
      <w:tblPr>
        <w:tblW w:w="9351" w:type="dxa"/>
        <w:tblLook w:val="04A0"/>
      </w:tblPr>
      <w:tblGrid>
        <w:gridCol w:w="2547"/>
        <w:gridCol w:w="2551"/>
        <w:gridCol w:w="1985"/>
        <w:gridCol w:w="2268"/>
      </w:tblGrid>
      <w:tr w:rsidR="00CD74BA" w:rsidRPr="006C58AD" w:rsidTr="00FC4C22">
        <w:trPr>
          <w:trHeight w:val="78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4BA" w:rsidRPr="00BA5143" w:rsidRDefault="00CD74BA" w:rsidP="00CD74BA">
            <w:pPr>
              <w:jc w:val="center"/>
              <w:rPr>
                <w:sz w:val="20"/>
                <w:szCs w:val="20"/>
                <w:lang w:val="en-US"/>
              </w:rPr>
            </w:pPr>
            <w:r w:rsidRPr="00BA5143">
              <w:rPr>
                <w:sz w:val="20"/>
                <w:szCs w:val="20"/>
                <w:lang w:val="en-US"/>
              </w:rPr>
              <w:t>By date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CD74BA" w:rsidRPr="00BA5143" w:rsidRDefault="00CD74BA" w:rsidP="00CD74BA">
            <w:pPr>
              <w:jc w:val="center"/>
              <w:rPr>
                <w:sz w:val="20"/>
                <w:szCs w:val="20"/>
                <w:lang w:val="en-US"/>
              </w:rPr>
            </w:pPr>
            <w:r w:rsidRPr="00BA5143">
              <w:rPr>
                <w:sz w:val="20"/>
                <w:szCs w:val="20"/>
                <w:lang w:val="en-US"/>
              </w:rPr>
              <w:t xml:space="preserve">Actual value of the </w:t>
            </w:r>
            <w:r w:rsidR="00C13E4C" w:rsidRPr="00BA5143">
              <w:rPr>
                <w:sz w:val="20"/>
                <w:szCs w:val="20"/>
                <w:lang w:val="en-US"/>
              </w:rPr>
              <w:t>norm,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D74BA" w:rsidRPr="00BA5143" w:rsidRDefault="00CD74BA" w:rsidP="00CD74BA">
            <w:pPr>
              <w:jc w:val="center"/>
              <w:rPr>
                <w:sz w:val="20"/>
                <w:szCs w:val="20"/>
                <w:lang w:val="en-US"/>
              </w:rPr>
            </w:pPr>
            <w:r w:rsidRPr="00BA5143">
              <w:rPr>
                <w:sz w:val="20"/>
                <w:szCs w:val="20"/>
                <w:lang w:val="en-US"/>
              </w:rPr>
              <w:t>By date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D74BA" w:rsidRPr="00BA5143" w:rsidRDefault="00CD74BA" w:rsidP="00CD74BA">
            <w:pPr>
              <w:jc w:val="center"/>
              <w:rPr>
                <w:sz w:val="20"/>
                <w:szCs w:val="20"/>
                <w:lang w:val="en-US"/>
              </w:rPr>
            </w:pPr>
            <w:r w:rsidRPr="00BA5143">
              <w:rPr>
                <w:sz w:val="20"/>
                <w:szCs w:val="20"/>
                <w:lang w:val="en-US"/>
              </w:rPr>
              <w:t xml:space="preserve">Actual value of the </w:t>
            </w:r>
            <w:r w:rsidR="00C13E4C" w:rsidRPr="00BA5143">
              <w:rPr>
                <w:sz w:val="20"/>
                <w:szCs w:val="20"/>
                <w:lang w:val="en-US"/>
              </w:rPr>
              <w:t>norm, %</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01.02.2017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209,05%</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01.02.2018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359,60%</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01.03.2017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208,42%</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01.03.2018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371,37%</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01.04.2017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206,15%</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01.04.2018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372,60%</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01.05.2017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184,85%</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01.05.2018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383,60%</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01.06.2017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183,76%</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01.06.2018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385,90%</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01.07.2017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181,66%</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01.07.2018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387,97%</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01.08.2017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88,15%</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01.08.2018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386,98%</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01.09.2017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88,18%</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01.09.2018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389,83%</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01.10.2017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85,95%</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01.10.2018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386,34%</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01.11.2017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84,74%</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01.11.2018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388,34%</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01.12.2017</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388,69%</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01.12.2018</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390,12%</w:t>
            </w:r>
          </w:p>
        </w:tc>
      </w:tr>
      <w:tr w:rsidR="00FC4C22" w:rsidRPr="00BA5143" w:rsidTr="00FC4C22">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01.01.2018</w:t>
            </w:r>
          </w:p>
        </w:tc>
        <w:tc>
          <w:tcPr>
            <w:tcW w:w="2551"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359,48%</w:t>
            </w:r>
          </w:p>
        </w:tc>
        <w:tc>
          <w:tcPr>
            <w:tcW w:w="1985"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01.01.2019</w:t>
            </w:r>
          </w:p>
        </w:tc>
        <w:tc>
          <w:tcPr>
            <w:tcW w:w="2268" w:type="dxa"/>
            <w:tcBorders>
              <w:top w:val="nil"/>
              <w:left w:val="nil"/>
              <w:bottom w:val="single" w:sz="4" w:space="0" w:color="auto"/>
              <w:right w:val="single" w:sz="4" w:space="0" w:color="auto"/>
            </w:tcBorders>
            <w:shd w:val="clear" w:color="auto" w:fill="auto"/>
            <w:vAlign w:val="center"/>
            <w:hideMark/>
          </w:tcPr>
          <w:p w:rsidR="00FC4C22" w:rsidRPr="00BA5143" w:rsidRDefault="00FC4C22" w:rsidP="00FC4C22">
            <w:pPr>
              <w:jc w:val="center"/>
              <w:rPr>
                <w:color w:val="000000"/>
                <w:sz w:val="20"/>
                <w:szCs w:val="20"/>
                <w:lang w:val="en-US"/>
              </w:rPr>
            </w:pPr>
            <w:r w:rsidRPr="00BA5143">
              <w:rPr>
                <w:color w:val="000000"/>
                <w:sz w:val="20"/>
                <w:szCs w:val="20"/>
                <w:lang w:val="en-US"/>
              </w:rPr>
              <w:t>380,74%</w:t>
            </w:r>
          </w:p>
        </w:tc>
      </w:tr>
    </w:tbl>
    <w:p w:rsidR="00FC4C22" w:rsidRPr="00BA5143" w:rsidRDefault="00FC4C22" w:rsidP="00FC4C22">
      <w:pPr>
        <w:pStyle w:val="22"/>
        <w:spacing w:after="0" w:line="240" w:lineRule="auto"/>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6B44D8" w:rsidRDefault="006B44D8" w:rsidP="008B5BF4">
      <w:pPr>
        <w:spacing w:line="240" w:lineRule="exact"/>
        <w:jc w:val="both"/>
        <w:rPr>
          <w:b/>
          <w:lang w:val="en-US"/>
        </w:rPr>
      </w:pPr>
    </w:p>
    <w:p w:rsidR="00D87E3A" w:rsidRPr="00BA5143" w:rsidRDefault="00D87E3A" w:rsidP="008B5BF4">
      <w:pPr>
        <w:spacing w:line="240" w:lineRule="exact"/>
        <w:jc w:val="both"/>
        <w:rPr>
          <w:b/>
          <w:lang w:val="en-US"/>
        </w:rPr>
      </w:pPr>
      <w:proofErr w:type="gramStart"/>
      <w:r w:rsidRPr="00BA5143">
        <w:rPr>
          <w:b/>
          <w:lang w:val="en-US"/>
        </w:rPr>
        <w:lastRenderedPageBreak/>
        <w:t>NOTE 27.</w:t>
      </w:r>
      <w:proofErr w:type="gramEnd"/>
      <w:r w:rsidRPr="00BA5143">
        <w:rPr>
          <w:b/>
          <w:lang w:val="en-US"/>
        </w:rPr>
        <w:t xml:space="preserve"> POTENTIAL LIABILITIES OF THE BANK</w:t>
      </w:r>
    </w:p>
    <w:p w:rsidR="00D87E3A" w:rsidRPr="00BA5143" w:rsidRDefault="00D87E3A" w:rsidP="008B5BF4">
      <w:pPr>
        <w:spacing w:line="240" w:lineRule="exact"/>
        <w:jc w:val="both"/>
        <w:rPr>
          <w:b/>
          <w:lang w:val="en-US"/>
        </w:rPr>
      </w:pPr>
    </w:p>
    <w:p w:rsidR="001536D1" w:rsidRPr="00BA5143" w:rsidRDefault="001536D1" w:rsidP="001536D1">
      <w:pPr>
        <w:jc w:val="both"/>
        <w:rPr>
          <w:b/>
          <w:lang w:val="en-US"/>
        </w:rPr>
      </w:pPr>
      <w:r w:rsidRPr="00BA5143">
        <w:rPr>
          <w:b/>
          <w:lang w:val="en-US"/>
        </w:rPr>
        <w:t>a) consideration of cases in court</w:t>
      </w:r>
    </w:p>
    <w:p w:rsidR="001536D1" w:rsidRPr="00BA5143" w:rsidRDefault="001536D1" w:rsidP="001536D1">
      <w:pPr>
        <w:jc w:val="both"/>
        <w:rPr>
          <w:lang w:val="en-US"/>
        </w:rPr>
      </w:pPr>
      <w:r w:rsidRPr="00BA5143">
        <w:rPr>
          <w:lang w:val="en-US"/>
        </w:rPr>
        <w:t>As at 31.12.2018 the Bank is a party to various litigation and disputes. Potential liabilities for which there is a risk of cash outflows are absent.</w:t>
      </w:r>
    </w:p>
    <w:p w:rsidR="001536D1" w:rsidRPr="00BA5143" w:rsidRDefault="001536D1" w:rsidP="001536D1">
      <w:pPr>
        <w:jc w:val="both"/>
        <w:rPr>
          <w:lang w:val="en-US"/>
        </w:rPr>
      </w:pPr>
      <w:r w:rsidRPr="00BA5143">
        <w:rPr>
          <w:b/>
          <w:bCs/>
          <w:lang w:val="en-US"/>
        </w:rPr>
        <w:t>b) the potential tax liabilities of the</w:t>
      </w:r>
      <w:r w:rsidRPr="00BA5143">
        <w:rPr>
          <w:lang w:val="en-US"/>
        </w:rPr>
        <w:t xml:space="preserve"> bank</w:t>
      </w:r>
    </w:p>
    <w:p w:rsidR="001536D1" w:rsidRPr="00BA5143" w:rsidRDefault="001536D1" w:rsidP="001536D1">
      <w:pPr>
        <w:jc w:val="both"/>
        <w:rPr>
          <w:lang w:val="en-US"/>
        </w:rPr>
      </w:pPr>
      <w:r w:rsidRPr="00BA5143">
        <w:rPr>
          <w:lang w:val="en-US"/>
        </w:rPr>
        <w:t>As at 31 December 2018, the Bank had no potential tax liabilities.</w:t>
      </w:r>
    </w:p>
    <w:p w:rsidR="001536D1" w:rsidRPr="00BA5143" w:rsidRDefault="001536D1" w:rsidP="00FC4C22">
      <w:pPr>
        <w:jc w:val="both"/>
        <w:rPr>
          <w:b/>
          <w:lang w:val="en-US"/>
        </w:rPr>
      </w:pPr>
      <w:r w:rsidRPr="00BA5143">
        <w:rPr>
          <w:b/>
          <w:lang w:val="en-US"/>
        </w:rPr>
        <w:t>c) obligations on capital investments</w:t>
      </w:r>
    </w:p>
    <w:p w:rsidR="001536D1" w:rsidRPr="00BA5143" w:rsidRDefault="001536D1" w:rsidP="00FC4C22">
      <w:pPr>
        <w:jc w:val="both"/>
        <w:rPr>
          <w:color w:val="000000"/>
          <w:lang w:val="en-US"/>
        </w:rPr>
      </w:pPr>
      <w:r w:rsidRPr="00BA5143">
        <w:rPr>
          <w:color w:val="000000"/>
          <w:lang w:val="en-US"/>
        </w:rPr>
        <w:t>As at 31.12.2018, the Bank had no obligations to purchase fixed assets and intangible assets.</w:t>
      </w:r>
    </w:p>
    <w:p w:rsidR="001536D1" w:rsidRPr="00BA5143" w:rsidRDefault="001536D1" w:rsidP="00FC4C22">
      <w:pPr>
        <w:jc w:val="both"/>
        <w:rPr>
          <w:b/>
          <w:lang w:val="en-US"/>
        </w:rPr>
      </w:pPr>
      <w:r w:rsidRPr="00BA5143">
        <w:rPr>
          <w:b/>
          <w:lang w:val="en-US"/>
        </w:rPr>
        <w:t>d) liabilities of operational lease</w:t>
      </w:r>
    </w:p>
    <w:p w:rsidR="001536D1" w:rsidRPr="00BA5143" w:rsidRDefault="001536D1" w:rsidP="00FC4C22">
      <w:pPr>
        <w:spacing w:line="240" w:lineRule="exact"/>
        <w:jc w:val="both"/>
        <w:rPr>
          <w:color w:val="000000"/>
          <w:lang w:val="en-US"/>
        </w:rPr>
      </w:pPr>
      <w:r w:rsidRPr="00BA5143">
        <w:rPr>
          <w:color w:val="000000"/>
          <w:lang w:val="en-US"/>
        </w:rPr>
        <w:t>At 31.12.2018 the Bank has no operational lease liabilities.</w:t>
      </w:r>
    </w:p>
    <w:p w:rsidR="001536D1" w:rsidRPr="00BA5143" w:rsidRDefault="001536D1" w:rsidP="001536D1">
      <w:pPr>
        <w:spacing w:line="240" w:lineRule="exact"/>
        <w:jc w:val="both"/>
        <w:rPr>
          <w:b/>
          <w:bCs/>
          <w:color w:val="000000"/>
          <w:lang w:val="en-US"/>
        </w:rPr>
      </w:pPr>
      <w:r w:rsidRPr="00BA5143">
        <w:rPr>
          <w:b/>
          <w:bCs/>
          <w:color w:val="000000"/>
          <w:lang w:val="en-US"/>
        </w:rPr>
        <w:t>e) lending commitments</w:t>
      </w:r>
    </w:p>
    <w:p w:rsidR="001536D1" w:rsidRPr="00BA5143" w:rsidRDefault="001536D1" w:rsidP="001536D1">
      <w:pPr>
        <w:spacing w:line="240" w:lineRule="exact"/>
        <w:jc w:val="both"/>
        <w:rPr>
          <w:color w:val="000000"/>
          <w:lang w:val="en-US"/>
        </w:rPr>
      </w:pPr>
      <w:r w:rsidRPr="00BA5143">
        <w:rPr>
          <w:color w:val="000000"/>
          <w:lang w:val="en-US"/>
        </w:rPr>
        <w:t>As at 31 December 2018, the Bank had no lending obligations.</w:t>
      </w:r>
    </w:p>
    <w:p w:rsidR="001536D1" w:rsidRPr="00BA5143" w:rsidRDefault="001536D1" w:rsidP="001536D1">
      <w:pPr>
        <w:spacing w:line="240" w:lineRule="exact"/>
        <w:jc w:val="both"/>
        <w:rPr>
          <w:color w:val="000000"/>
          <w:lang w:val="en-US"/>
        </w:rPr>
      </w:pPr>
      <w:r w:rsidRPr="00BA5143">
        <w:rPr>
          <w:color w:val="000000"/>
          <w:lang w:val="en-US"/>
        </w:rPr>
        <w:t>As at 31 December 20178, the Bank had no shares in associated companies, but did not carry</w:t>
      </w:r>
    </w:p>
    <w:p w:rsidR="001536D1" w:rsidRPr="00BA5143" w:rsidRDefault="001536D1" w:rsidP="001536D1">
      <w:pPr>
        <w:spacing w:line="240" w:lineRule="exact"/>
        <w:jc w:val="both"/>
        <w:rPr>
          <w:color w:val="000000"/>
          <w:lang w:val="en-US"/>
        </w:rPr>
      </w:pPr>
      <w:r w:rsidRPr="00BA5143">
        <w:rPr>
          <w:color w:val="000000"/>
          <w:lang w:val="en-US"/>
        </w:rPr>
        <w:t>joint liability with other investors on the obligations of affiliated companies.</w:t>
      </w:r>
    </w:p>
    <w:p w:rsidR="001536D1" w:rsidRPr="00BA5143" w:rsidRDefault="001536D1" w:rsidP="001536D1">
      <w:pPr>
        <w:spacing w:line="240" w:lineRule="exact"/>
        <w:jc w:val="both"/>
        <w:rPr>
          <w:color w:val="000000"/>
          <w:lang w:val="en-US"/>
        </w:rPr>
      </w:pPr>
      <w:r w:rsidRPr="00BA5143">
        <w:rPr>
          <w:color w:val="000000"/>
          <w:lang w:val="en-US"/>
        </w:rPr>
        <w:t>As at 31 December 2018, the Bank had no assets pledged as collateral</w:t>
      </w:r>
    </w:p>
    <w:p w:rsidR="001536D1" w:rsidRPr="00BA5143" w:rsidRDefault="001536D1" w:rsidP="001536D1">
      <w:pPr>
        <w:spacing w:line="240" w:lineRule="exact"/>
        <w:jc w:val="both"/>
        <w:rPr>
          <w:color w:val="000000"/>
          <w:lang w:val="en-US"/>
        </w:rPr>
      </w:pPr>
      <w:r w:rsidRPr="00BA5143">
        <w:rPr>
          <w:color w:val="000000"/>
          <w:lang w:val="en-US"/>
        </w:rPr>
        <w:t>with respect to which the restrictions related to possession, use and</w:t>
      </w:r>
    </w:p>
    <w:p w:rsidR="001536D1" w:rsidRPr="00BA5143" w:rsidRDefault="001536D1" w:rsidP="001536D1">
      <w:pPr>
        <w:spacing w:line="240" w:lineRule="exact"/>
        <w:jc w:val="both"/>
        <w:rPr>
          <w:color w:val="000000"/>
          <w:lang w:val="en-US"/>
        </w:rPr>
      </w:pPr>
      <w:r w:rsidRPr="00BA5143">
        <w:rPr>
          <w:color w:val="000000"/>
          <w:lang w:val="en-US"/>
        </w:rPr>
        <w:t>order them.</w:t>
      </w:r>
    </w:p>
    <w:p w:rsidR="00BD7C3C" w:rsidRPr="00BA5143" w:rsidRDefault="00BD7C3C" w:rsidP="008B0277">
      <w:pPr>
        <w:jc w:val="right"/>
        <w:rPr>
          <w:highlight w:val="yellow"/>
          <w:lang w:val="en-US"/>
        </w:rPr>
      </w:pPr>
    </w:p>
    <w:p w:rsidR="008B0277" w:rsidRPr="00BA5143" w:rsidRDefault="001536D1" w:rsidP="008B0277">
      <w:pPr>
        <w:tabs>
          <w:tab w:val="num" w:pos="851"/>
        </w:tabs>
        <w:ind w:firstLine="567"/>
        <w:jc w:val="both"/>
        <w:rPr>
          <w:lang w:val="en-US"/>
        </w:rPr>
      </w:pPr>
      <w:r w:rsidRPr="00BA5143">
        <w:rPr>
          <w:b/>
          <w:lang w:val="en-US"/>
        </w:rPr>
        <w:t>NOTE 28. FAIR VALUE OF ASSETS AND LIABILITIES</w:t>
      </w:r>
    </w:p>
    <w:p w:rsidR="004A5E7E" w:rsidRPr="00BA5143" w:rsidRDefault="004A5E7E" w:rsidP="004A5E7E">
      <w:pPr>
        <w:spacing w:line="240" w:lineRule="exact"/>
        <w:ind w:firstLine="426"/>
        <w:jc w:val="both"/>
        <w:rPr>
          <w:lang w:val="en-US"/>
        </w:rPr>
      </w:pPr>
      <w:r w:rsidRPr="00BA5143">
        <w:rPr>
          <w:lang w:val="en-US"/>
        </w:rPr>
        <w:t>Fair value is the price that would have been received for the sale of an asset or paid for the transfer of a liability in a normal transaction between market participants at the date of the transaction.</w:t>
      </w:r>
    </w:p>
    <w:p w:rsidR="004A5E7E" w:rsidRPr="00BA5143" w:rsidRDefault="004A5E7E" w:rsidP="004A5E7E">
      <w:pPr>
        <w:spacing w:line="240" w:lineRule="exact"/>
        <w:ind w:firstLine="426"/>
        <w:jc w:val="both"/>
        <w:rPr>
          <w:lang w:val="en-US"/>
        </w:rPr>
      </w:pPr>
      <w:r w:rsidRPr="00BA5143">
        <w:rPr>
          <w:lang w:val="en-US"/>
        </w:rPr>
        <w:t>The loans granted (received), placed (attracted) deposits during initial recognition are measured at fair value by the bank, taking into account transaction costs. The fair value of a financial instrument during initial recognition is usually equal to the actual transaction price.</w:t>
      </w:r>
    </w:p>
    <w:p w:rsidR="004A5E7E" w:rsidRPr="00BA5143" w:rsidRDefault="004A5E7E" w:rsidP="004A5E7E">
      <w:pPr>
        <w:spacing w:line="240" w:lineRule="exact"/>
        <w:ind w:firstLine="426"/>
        <w:jc w:val="both"/>
        <w:rPr>
          <w:lang w:val="en-US"/>
        </w:rPr>
      </w:pPr>
      <w:r w:rsidRPr="00BA5143">
        <w:rPr>
          <w:lang w:val="en-US"/>
        </w:rPr>
        <w:t>The fair value is best confirmed by existing market prices. The fair value of instruments for which no quotes in the active market are quoted are determined by the Bank using valuation techniques. The estimated fair value of floating interest rate instruments that are not quoted in an active market is equal to their carrying amount. The fair value of non-marketable fixed interest rate instruments was calculated on the basis of estimated future expected cash flows discounted using current interest rates for new instruments with similar credit risk and remaining maturity. Discount rates used depend on the currency and maturity of the instrument, as well as on the counterparty's credit risk.</w:t>
      </w:r>
    </w:p>
    <w:p w:rsidR="00CD74BA" w:rsidRPr="00BA5143" w:rsidRDefault="00CD74BA" w:rsidP="004A5E7E">
      <w:pPr>
        <w:spacing w:line="240" w:lineRule="exact"/>
        <w:ind w:firstLine="426"/>
        <w:jc w:val="both"/>
        <w:rPr>
          <w:lang w:val="en-US"/>
        </w:rPr>
      </w:pPr>
    </w:p>
    <w:p w:rsidR="00CD74BA" w:rsidRPr="00BA5143" w:rsidRDefault="00CD74BA" w:rsidP="00CD74BA">
      <w:pPr>
        <w:spacing w:line="240" w:lineRule="exact"/>
        <w:rPr>
          <w:b/>
          <w:lang w:val="en-US"/>
        </w:rPr>
      </w:pPr>
      <w:r w:rsidRPr="00BA5143">
        <w:rPr>
          <w:b/>
          <w:lang w:val="en-US"/>
        </w:rPr>
        <w:t xml:space="preserve">Table 28.1. Fair value and level of input hierarchy used for methods of valuation of assets and liabilities as at 31 December 2018 </w:t>
      </w:r>
    </w:p>
    <w:p w:rsidR="00CD74BA" w:rsidRPr="00BA5143" w:rsidRDefault="00CD74BA" w:rsidP="00CD74BA">
      <w:pPr>
        <w:spacing w:line="240" w:lineRule="exact"/>
        <w:ind w:firstLine="567"/>
        <w:jc w:val="right"/>
        <w:rPr>
          <w:lang w:val="en-US"/>
        </w:rPr>
      </w:pPr>
      <w:r w:rsidRPr="00BA5143">
        <w:rPr>
          <w:lang w:val="en-US"/>
        </w:rPr>
        <w:t>(ths. UAH.)</w:t>
      </w:r>
    </w:p>
    <w:tbl>
      <w:tblPr>
        <w:tblW w:w="10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410"/>
        <w:gridCol w:w="1332"/>
        <w:gridCol w:w="1418"/>
        <w:gridCol w:w="1544"/>
        <w:gridCol w:w="1354"/>
        <w:gridCol w:w="1276"/>
      </w:tblGrid>
      <w:tr w:rsidR="00CD74BA" w:rsidRPr="00BA5143" w:rsidTr="00CD74BA">
        <w:trPr>
          <w:trHeight w:val="255"/>
        </w:trPr>
        <w:tc>
          <w:tcPr>
            <w:tcW w:w="851" w:type="dxa"/>
            <w:vMerge w:val="restart"/>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Line</w:t>
            </w:r>
          </w:p>
        </w:tc>
        <w:tc>
          <w:tcPr>
            <w:tcW w:w="2410" w:type="dxa"/>
            <w:vMerge w:val="restart"/>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1E4F84">
            <w:pPr>
              <w:jc w:val="center"/>
              <w:rPr>
                <w:sz w:val="20"/>
                <w:szCs w:val="20"/>
                <w:lang w:val="en-US"/>
              </w:rPr>
            </w:pPr>
            <w:r w:rsidRPr="00BA5143">
              <w:rPr>
                <w:sz w:val="20"/>
                <w:szCs w:val="20"/>
                <w:lang w:val="en-US"/>
              </w:rPr>
              <w:t>Item</w:t>
            </w:r>
          </w:p>
        </w:tc>
        <w:tc>
          <w:tcPr>
            <w:tcW w:w="4294" w:type="dxa"/>
            <w:gridSpan w:val="3"/>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Fair value for different valuation models</w:t>
            </w:r>
          </w:p>
        </w:tc>
        <w:tc>
          <w:tcPr>
            <w:tcW w:w="1354" w:type="dxa"/>
            <w:vMerge w:val="restart"/>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Total fair value</w:t>
            </w:r>
          </w:p>
        </w:tc>
        <w:tc>
          <w:tcPr>
            <w:tcW w:w="1276" w:type="dxa"/>
            <w:vMerge w:val="restart"/>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Carrying value</w:t>
            </w:r>
          </w:p>
          <w:p w:rsidR="00CD74BA" w:rsidRPr="00BA5143" w:rsidRDefault="00CD74BA">
            <w:pPr>
              <w:jc w:val="center"/>
              <w:rPr>
                <w:sz w:val="20"/>
                <w:szCs w:val="20"/>
                <w:lang w:val="en-US"/>
              </w:rPr>
            </w:pPr>
            <w:r w:rsidRPr="00BA5143">
              <w:rPr>
                <w:sz w:val="20"/>
                <w:szCs w:val="20"/>
                <w:lang w:val="en-US"/>
              </w:rPr>
              <w:t> </w:t>
            </w:r>
          </w:p>
        </w:tc>
      </w:tr>
      <w:tr w:rsidR="00CD74BA" w:rsidRPr="006C58AD" w:rsidTr="00CD74BA">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D74BA" w:rsidRPr="00BA5143" w:rsidRDefault="00CD74BA">
            <w:pPr>
              <w:rPr>
                <w:sz w:val="22"/>
                <w:szCs w:val="20"/>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D74BA" w:rsidRPr="00BA5143" w:rsidRDefault="00CD74BA">
            <w:pPr>
              <w:rPr>
                <w:sz w:val="20"/>
                <w:szCs w:val="20"/>
                <w:lang w:val="en-US"/>
              </w:rPr>
            </w:pP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Market quotes (1st level)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Evaluation model using observational data (Level 2)</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Evaluation model using indicators not verified by market data (Level 3)</w:t>
            </w: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CD74BA" w:rsidRPr="00BA5143" w:rsidRDefault="00CD74BA">
            <w:pPr>
              <w:rPr>
                <w:sz w:val="20"/>
                <w:szCs w:val="20"/>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D74BA" w:rsidRPr="00BA5143" w:rsidRDefault="00CD74BA">
            <w:pPr>
              <w:rPr>
                <w:sz w:val="20"/>
                <w:szCs w:val="20"/>
                <w:lang w:val="en-US"/>
              </w:rPr>
            </w:pP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2</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4</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5</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7</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 І</w:t>
            </w:r>
          </w:p>
        </w:tc>
        <w:tc>
          <w:tcPr>
            <w:tcW w:w="2410" w:type="dxa"/>
            <w:tcBorders>
              <w:top w:val="single" w:sz="4" w:space="0" w:color="auto"/>
              <w:left w:val="single" w:sz="4" w:space="0" w:color="auto"/>
              <w:bottom w:val="single" w:sz="4" w:space="0" w:color="auto"/>
              <w:right w:val="single" w:sz="4" w:space="0" w:color="auto"/>
            </w:tcBorders>
            <w:noWrap/>
            <w:hideMark/>
          </w:tcPr>
          <w:p w:rsidR="00CD74BA" w:rsidRPr="00BA5143" w:rsidRDefault="00CD74BA">
            <w:pPr>
              <w:jc w:val="center"/>
              <w:rPr>
                <w:sz w:val="20"/>
                <w:szCs w:val="20"/>
                <w:lang w:val="en-US"/>
              </w:rPr>
            </w:pPr>
            <w:r w:rsidRPr="00BA5143">
              <w:rPr>
                <w:sz w:val="20"/>
                <w:szCs w:val="20"/>
                <w:lang w:val="en-US"/>
              </w:rPr>
              <w:t>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 </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 </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0"/>
                <w:szCs w:val="20"/>
                <w:lang w:val="en-US"/>
              </w:rPr>
            </w:pPr>
            <w:r w:rsidRPr="00BA5143">
              <w:rPr>
                <w:sz w:val="20"/>
                <w:szCs w:val="20"/>
                <w:lang w:val="en-US"/>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rPr>
                <w:sz w:val="20"/>
                <w:szCs w:val="20"/>
                <w:lang w:val="en-US"/>
              </w:rPr>
            </w:pPr>
            <w:r w:rsidRPr="00BA5143">
              <w:rPr>
                <w:sz w:val="20"/>
                <w:szCs w:val="20"/>
                <w:lang w:val="en-US"/>
              </w:rPr>
              <w:t> </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1</w:t>
            </w:r>
          </w:p>
        </w:tc>
        <w:tc>
          <w:tcPr>
            <w:tcW w:w="2410" w:type="dxa"/>
            <w:tcBorders>
              <w:top w:val="single" w:sz="4" w:space="0" w:color="auto"/>
              <w:left w:val="single" w:sz="4" w:space="0" w:color="auto"/>
              <w:bottom w:val="single" w:sz="4" w:space="0" w:color="auto"/>
              <w:right w:val="single" w:sz="4" w:space="0" w:color="auto"/>
            </w:tcBorders>
            <w:noWrap/>
            <w:hideMark/>
          </w:tcPr>
          <w:p w:rsidR="00CD74BA" w:rsidRPr="00BA5143" w:rsidRDefault="00CD74BA">
            <w:pPr>
              <w:rPr>
                <w:sz w:val="20"/>
                <w:szCs w:val="20"/>
                <w:lang w:val="en-US"/>
              </w:rPr>
            </w:pPr>
            <w:r w:rsidRPr="00BA5143">
              <w:rPr>
                <w:sz w:val="20"/>
                <w:szCs w:val="20"/>
                <w:lang w:val="en-US"/>
              </w:rPr>
              <w:t>Cash and cash equivalents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3 289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3 289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3 289</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1.1</w:t>
            </w:r>
          </w:p>
        </w:tc>
        <w:tc>
          <w:tcPr>
            <w:tcW w:w="2410" w:type="dxa"/>
            <w:tcBorders>
              <w:top w:val="single" w:sz="4" w:space="0" w:color="auto"/>
              <w:left w:val="single" w:sz="4" w:space="0" w:color="auto"/>
              <w:bottom w:val="single" w:sz="4" w:space="0" w:color="auto"/>
              <w:right w:val="single" w:sz="4" w:space="0" w:color="auto"/>
            </w:tcBorders>
            <w:noWrap/>
            <w:hideMark/>
          </w:tcPr>
          <w:p w:rsidR="00CD74BA" w:rsidRPr="00BA5143" w:rsidRDefault="00CD74BA">
            <w:pPr>
              <w:rPr>
                <w:sz w:val="20"/>
                <w:szCs w:val="20"/>
                <w:lang w:val="en-US"/>
              </w:rPr>
            </w:pPr>
            <w:r w:rsidRPr="00BA5143">
              <w:rPr>
                <w:sz w:val="20"/>
                <w:szCs w:val="20"/>
                <w:lang w:val="en-US"/>
              </w:rPr>
              <w:t>cash funds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2 479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2 479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2 479</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1.2</w:t>
            </w:r>
          </w:p>
        </w:tc>
        <w:tc>
          <w:tcPr>
            <w:tcW w:w="2410" w:type="dxa"/>
            <w:tcBorders>
              <w:top w:val="single" w:sz="4" w:space="0" w:color="auto"/>
              <w:left w:val="single" w:sz="4" w:space="0" w:color="auto"/>
              <w:bottom w:val="single" w:sz="4" w:space="0" w:color="auto"/>
              <w:right w:val="single" w:sz="4" w:space="0" w:color="auto"/>
            </w:tcBorders>
            <w:noWrap/>
            <w:hideMark/>
          </w:tcPr>
          <w:p w:rsidR="00CD74BA" w:rsidRPr="00BA5143" w:rsidRDefault="00CD74BA">
            <w:pPr>
              <w:rPr>
                <w:sz w:val="20"/>
                <w:szCs w:val="20"/>
                <w:lang w:val="en-US"/>
              </w:rPr>
            </w:pPr>
            <w:r w:rsidRPr="00BA5143">
              <w:rPr>
                <w:sz w:val="20"/>
                <w:szCs w:val="20"/>
                <w:lang w:val="en-US"/>
              </w:rPr>
              <w:t>funds in the National Bank of Ukraine (except for mandatory reserves)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356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356</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1.3</w:t>
            </w:r>
          </w:p>
        </w:tc>
        <w:tc>
          <w:tcPr>
            <w:tcW w:w="2410" w:type="dxa"/>
            <w:tcBorders>
              <w:top w:val="single" w:sz="4" w:space="0" w:color="auto"/>
              <w:left w:val="single" w:sz="4" w:space="0" w:color="auto"/>
              <w:bottom w:val="single" w:sz="4" w:space="0" w:color="auto"/>
              <w:right w:val="single" w:sz="4" w:space="0" w:color="auto"/>
            </w:tcBorders>
            <w:noWrap/>
            <w:hideMark/>
          </w:tcPr>
          <w:p w:rsidR="00CD74BA" w:rsidRPr="00BA5143" w:rsidRDefault="00CD74BA">
            <w:pPr>
              <w:rPr>
                <w:sz w:val="20"/>
                <w:szCs w:val="20"/>
                <w:lang w:val="en-US"/>
              </w:rPr>
            </w:pPr>
            <w:r w:rsidRPr="00BA5143">
              <w:rPr>
                <w:sz w:val="20"/>
                <w:szCs w:val="20"/>
                <w:lang w:val="en-US"/>
              </w:rPr>
              <w:t>correspondent accounts, deposits and loans overnight in banks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454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454</w:t>
            </w:r>
          </w:p>
        </w:tc>
      </w:tr>
      <w:tr w:rsidR="00CD74BA" w:rsidRPr="00BA5143" w:rsidTr="00CD74BA">
        <w:trPr>
          <w:trHeight w:val="510"/>
        </w:trPr>
        <w:tc>
          <w:tcPr>
            <w:tcW w:w="851"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center"/>
              <w:rPr>
                <w:sz w:val="22"/>
                <w:szCs w:val="20"/>
                <w:lang w:val="en-US"/>
              </w:rPr>
            </w:pPr>
          </w:p>
          <w:p w:rsidR="00CD74BA" w:rsidRPr="00BA5143" w:rsidRDefault="00CD74BA">
            <w:pPr>
              <w:jc w:val="center"/>
              <w:rPr>
                <w:sz w:val="22"/>
                <w:szCs w:val="20"/>
                <w:lang w:val="en-US"/>
              </w:rPr>
            </w:pPr>
            <w:r w:rsidRPr="00BA5143">
              <w:rPr>
                <w:sz w:val="22"/>
                <w:szCs w:val="20"/>
                <w:lang w:val="en-US"/>
              </w:rPr>
              <w:t>2</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Debt securities, which are accounted for at amortized cost</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169 043</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169 043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169 043</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lastRenderedPageBreak/>
              <w:t>2.1</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Government bonds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120 878</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120 878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120 878</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2.2</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NBU deposit certificates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48 165</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48 165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48 165</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3</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Investment Property</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27 761</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27 761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27 761</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4</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Fixed and intangible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28 638</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28 638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28 638</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4.1</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buildings, constructions and transmission devices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28 447</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28 447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28 447</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4.2</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intangible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191</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191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191</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5</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Total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3 289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56 399</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169 043</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228 731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228 731</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 xml:space="preserve">ІІ </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LIABILITIES</w:t>
            </w:r>
          </w:p>
        </w:tc>
        <w:tc>
          <w:tcPr>
            <w:tcW w:w="1332"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right"/>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right"/>
              <w:rPr>
                <w:sz w:val="20"/>
                <w:szCs w:val="20"/>
                <w:lang w:val="en-US"/>
              </w:rPr>
            </w:pPr>
          </w:p>
        </w:tc>
        <w:tc>
          <w:tcPr>
            <w:tcW w:w="1544"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right"/>
              <w:rPr>
                <w:sz w:val="20"/>
                <w:szCs w:val="20"/>
                <w:lang w:val="en-US"/>
              </w:rPr>
            </w:pPr>
          </w:p>
        </w:tc>
        <w:tc>
          <w:tcPr>
            <w:tcW w:w="1354"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right"/>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D74BA" w:rsidRPr="00BA5143" w:rsidRDefault="00CD74BA">
            <w:pPr>
              <w:jc w:val="right"/>
              <w:rPr>
                <w:sz w:val="20"/>
                <w:szCs w:val="20"/>
                <w:lang w:val="en-US"/>
              </w:rPr>
            </w:pP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6</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13E4C">
            <w:pPr>
              <w:rPr>
                <w:sz w:val="20"/>
                <w:szCs w:val="20"/>
                <w:lang w:val="en-US"/>
              </w:rPr>
            </w:pPr>
            <w:r w:rsidRPr="00BA5143">
              <w:rPr>
                <w:sz w:val="20"/>
                <w:szCs w:val="20"/>
                <w:lang w:val="en-US"/>
              </w:rPr>
              <w:t>Clients’</w:t>
            </w:r>
            <w:r w:rsidR="00CD74BA" w:rsidRPr="00BA5143">
              <w:rPr>
                <w:sz w:val="20"/>
                <w:szCs w:val="20"/>
                <w:lang w:val="en-US"/>
              </w:rPr>
              <w:t xml:space="preserve"> money</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617</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617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617</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6.1</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Other legal entities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204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204</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6.2</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Individuals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413</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413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413</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7.</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1E4F84">
            <w:pPr>
              <w:rPr>
                <w:sz w:val="20"/>
                <w:szCs w:val="20"/>
                <w:lang w:val="en-US"/>
              </w:rPr>
            </w:pPr>
            <w:r w:rsidRPr="00BA5143">
              <w:rPr>
                <w:sz w:val="20"/>
                <w:szCs w:val="20"/>
                <w:lang w:val="en-US"/>
              </w:rPr>
              <w:t>Customer funds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7.1</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Other liabilities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4</w:t>
            </w:r>
          </w:p>
        </w:tc>
      </w:tr>
      <w:tr w:rsidR="00CD74BA" w:rsidRPr="00BA5143" w:rsidTr="00CD74BA">
        <w:trPr>
          <w:trHeight w:val="255"/>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sz w:val="22"/>
                <w:szCs w:val="20"/>
                <w:lang w:val="en-US"/>
              </w:rPr>
            </w:pPr>
            <w:r w:rsidRPr="00BA5143">
              <w:rPr>
                <w:sz w:val="22"/>
                <w:szCs w:val="20"/>
                <w:lang w:val="en-US"/>
              </w:rPr>
              <w:t>8.</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sz w:val="20"/>
                <w:szCs w:val="20"/>
                <w:lang w:val="en-US"/>
              </w:rPr>
            </w:pPr>
            <w:r w:rsidRPr="00BA5143">
              <w:rPr>
                <w:sz w:val="20"/>
                <w:szCs w:val="20"/>
                <w:lang w:val="en-US"/>
              </w:rPr>
              <w:t>Subordinated debt</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32 754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32 754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sz w:val="20"/>
                <w:szCs w:val="20"/>
                <w:lang w:val="en-US"/>
              </w:rPr>
            </w:pPr>
            <w:r w:rsidRPr="00BA5143">
              <w:rPr>
                <w:sz w:val="20"/>
                <w:szCs w:val="20"/>
                <w:lang w:val="en-US"/>
              </w:rPr>
              <w:t>32 754</w:t>
            </w:r>
          </w:p>
        </w:tc>
      </w:tr>
      <w:tr w:rsidR="00CD74BA" w:rsidRPr="00BA5143" w:rsidTr="00CD74BA">
        <w:trPr>
          <w:trHeight w:val="270"/>
        </w:trPr>
        <w:tc>
          <w:tcPr>
            <w:tcW w:w="851"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center"/>
              <w:rPr>
                <w:b/>
                <w:bCs/>
                <w:sz w:val="22"/>
                <w:szCs w:val="20"/>
                <w:lang w:val="en-US"/>
              </w:rPr>
            </w:pPr>
            <w:r w:rsidRPr="00BA5143">
              <w:rPr>
                <w:b/>
                <w:bCs/>
                <w:sz w:val="22"/>
                <w:szCs w:val="20"/>
                <w:lang w:val="en-US"/>
              </w:rPr>
              <w:t>9</w:t>
            </w:r>
          </w:p>
        </w:tc>
        <w:tc>
          <w:tcPr>
            <w:tcW w:w="2410" w:type="dxa"/>
            <w:tcBorders>
              <w:top w:val="single" w:sz="4" w:space="0" w:color="auto"/>
              <w:left w:val="single" w:sz="4" w:space="0" w:color="auto"/>
              <w:bottom w:val="single" w:sz="4" w:space="0" w:color="auto"/>
              <w:right w:val="single" w:sz="4" w:space="0" w:color="auto"/>
            </w:tcBorders>
            <w:hideMark/>
          </w:tcPr>
          <w:p w:rsidR="00CD74BA" w:rsidRPr="00BA5143" w:rsidRDefault="00CD74BA">
            <w:pPr>
              <w:rPr>
                <w:b/>
                <w:bCs/>
                <w:sz w:val="20"/>
                <w:szCs w:val="20"/>
                <w:lang w:val="en-US"/>
              </w:rPr>
            </w:pPr>
            <w:r w:rsidRPr="00BA5143">
              <w:rPr>
                <w:b/>
                <w:bCs/>
                <w:sz w:val="20"/>
                <w:szCs w:val="20"/>
                <w:lang w:val="en-US"/>
              </w:rPr>
              <w:t>Total liabilities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b/>
                <w:bCs/>
                <w:sz w:val="20"/>
                <w:szCs w:val="20"/>
                <w:lang w:val="en-US"/>
              </w:rPr>
            </w:pPr>
            <w:r w:rsidRPr="00BA5143">
              <w:rPr>
                <w:b/>
                <w:bCs/>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b/>
                <w:bCs/>
                <w:sz w:val="20"/>
                <w:szCs w:val="20"/>
                <w:lang w:val="en-US"/>
              </w:rPr>
            </w:pPr>
            <w:r w:rsidRPr="00BA5143">
              <w:rPr>
                <w:b/>
                <w:bCs/>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b/>
                <w:bCs/>
                <w:sz w:val="20"/>
                <w:szCs w:val="20"/>
                <w:lang w:val="en-US"/>
              </w:rPr>
            </w:pPr>
            <w:r w:rsidRPr="00BA5143">
              <w:rPr>
                <w:b/>
                <w:bCs/>
                <w:sz w:val="20"/>
                <w:szCs w:val="20"/>
                <w:lang w:val="en-US"/>
              </w:rPr>
              <w:t>33 375</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b/>
                <w:bCs/>
                <w:sz w:val="20"/>
                <w:szCs w:val="20"/>
                <w:lang w:val="en-US"/>
              </w:rPr>
            </w:pPr>
            <w:r w:rsidRPr="00BA5143">
              <w:rPr>
                <w:b/>
                <w:bCs/>
                <w:sz w:val="20"/>
                <w:szCs w:val="20"/>
                <w:lang w:val="en-US"/>
              </w:rPr>
              <w:t>33 375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D74BA" w:rsidRPr="00BA5143" w:rsidRDefault="00CD74BA">
            <w:pPr>
              <w:jc w:val="right"/>
              <w:rPr>
                <w:b/>
                <w:bCs/>
                <w:sz w:val="20"/>
                <w:szCs w:val="20"/>
                <w:lang w:val="en-US"/>
              </w:rPr>
            </w:pPr>
            <w:r w:rsidRPr="00BA5143">
              <w:rPr>
                <w:b/>
                <w:bCs/>
                <w:sz w:val="20"/>
                <w:szCs w:val="20"/>
                <w:lang w:val="en-US"/>
              </w:rPr>
              <w:t>33 375</w:t>
            </w:r>
          </w:p>
        </w:tc>
      </w:tr>
    </w:tbl>
    <w:p w:rsidR="00CD74BA" w:rsidRPr="00BA5143" w:rsidRDefault="00CD74BA" w:rsidP="00CD74BA">
      <w:pPr>
        <w:spacing w:line="240" w:lineRule="exact"/>
        <w:jc w:val="right"/>
        <w:rPr>
          <w:highlight w:val="yellow"/>
          <w:lang w:val="en-US"/>
        </w:rPr>
      </w:pPr>
    </w:p>
    <w:p w:rsidR="001E4F84" w:rsidRPr="00BA5143" w:rsidRDefault="001E4F84" w:rsidP="001E4F84">
      <w:pPr>
        <w:spacing w:line="240" w:lineRule="exact"/>
        <w:rPr>
          <w:b/>
          <w:lang w:val="en-US"/>
        </w:rPr>
      </w:pPr>
      <w:proofErr w:type="gramStart"/>
      <w:r w:rsidRPr="00BA5143">
        <w:rPr>
          <w:b/>
          <w:lang w:val="en-US"/>
        </w:rPr>
        <w:t>Table 28.2.</w:t>
      </w:r>
      <w:proofErr w:type="gramEnd"/>
      <w:r w:rsidRPr="00BA5143">
        <w:rPr>
          <w:b/>
          <w:lang w:val="en-US"/>
        </w:rPr>
        <w:t xml:space="preserve"> Fair value and level of input hierarchy used for methods of valuation of assets and liabilities as at 31 December 2017</w:t>
      </w:r>
    </w:p>
    <w:p w:rsidR="001E4F84" w:rsidRPr="00BA5143" w:rsidRDefault="001E4F84" w:rsidP="001E4F84">
      <w:pPr>
        <w:spacing w:line="240" w:lineRule="exact"/>
        <w:ind w:firstLine="567"/>
        <w:jc w:val="right"/>
        <w:rPr>
          <w:lang w:val="en-US"/>
        </w:rPr>
      </w:pPr>
      <w:r w:rsidRPr="00BA5143">
        <w:rPr>
          <w:lang w:val="en-US"/>
        </w:rPr>
        <w:t>(ths. UAH.)</w:t>
      </w:r>
    </w:p>
    <w:tbl>
      <w:tblPr>
        <w:tblW w:w="102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496"/>
        <w:gridCol w:w="1333"/>
        <w:gridCol w:w="1419"/>
        <w:gridCol w:w="1545"/>
        <w:gridCol w:w="1355"/>
        <w:gridCol w:w="1277"/>
      </w:tblGrid>
      <w:tr w:rsidR="001E4F84" w:rsidRPr="00BA5143" w:rsidTr="001E4F84">
        <w:trPr>
          <w:trHeight w:val="255"/>
        </w:trPr>
        <w:tc>
          <w:tcPr>
            <w:tcW w:w="866"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Line</w:t>
            </w:r>
          </w:p>
        </w:tc>
        <w:tc>
          <w:tcPr>
            <w:tcW w:w="2495"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Item</w:t>
            </w:r>
          </w:p>
        </w:tc>
        <w:tc>
          <w:tcPr>
            <w:tcW w:w="4294" w:type="dxa"/>
            <w:gridSpan w:val="3"/>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Fair value for different valuation models</w:t>
            </w:r>
          </w:p>
        </w:tc>
        <w:tc>
          <w:tcPr>
            <w:tcW w:w="1354"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Total fair value</w:t>
            </w:r>
          </w:p>
        </w:tc>
        <w:tc>
          <w:tcPr>
            <w:tcW w:w="1276"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Carrying value</w:t>
            </w:r>
          </w:p>
          <w:p w:rsidR="001E4F84" w:rsidRPr="00BA5143" w:rsidRDefault="001E4F84">
            <w:pPr>
              <w:jc w:val="center"/>
              <w:rPr>
                <w:sz w:val="20"/>
                <w:szCs w:val="20"/>
                <w:lang w:val="en-US"/>
              </w:rPr>
            </w:pPr>
            <w:r w:rsidRPr="00BA5143">
              <w:rPr>
                <w:sz w:val="20"/>
                <w:szCs w:val="20"/>
                <w:lang w:val="en-US"/>
              </w:rPr>
              <w:t> </w:t>
            </w:r>
          </w:p>
        </w:tc>
      </w:tr>
      <w:tr w:rsidR="001E4F84" w:rsidRPr="006C58AD" w:rsidTr="001E4F84">
        <w:trPr>
          <w:trHeight w:val="25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2"/>
                <w:szCs w:val="20"/>
                <w:lang w:val="en-US"/>
              </w:rPr>
            </w:pPr>
          </w:p>
        </w:tc>
        <w:tc>
          <w:tcPr>
            <w:tcW w:w="2495"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Market quotes (1st level)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Evaluation model using observational data (Level 2)</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Evaluation model using indicators not verified by market data (Level 3)</w:t>
            </w: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0"/>
                <w:szCs w:val="20"/>
                <w:lang w:val="en-US"/>
              </w:rPr>
            </w:pP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1</w:t>
            </w:r>
          </w:p>
        </w:tc>
        <w:tc>
          <w:tcPr>
            <w:tcW w:w="2495"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4</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5</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7</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 І</w:t>
            </w:r>
          </w:p>
        </w:tc>
        <w:tc>
          <w:tcPr>
            <w:tcW w:w="2495"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jc w:val="center"/>
              <w:rPr>
                <w:sz w:val="20"/>
                <w:szCs w:val="20"/>
                <w:lang w:val="en-US"/>
              </w:rPr>
            </w:pPr>
            <w:r w:rsidRPr="00BA5143">
              <w:rPr>
                <w:sz w:val="20"/>
                <w:szCs w:val="20"/>
                <w:lang w:val="en-US"/>
              </w:rPr>
              <w:t>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rPr>
                <w:sz w:val="20"/>
                <w:szCs w:val="20"/>
                <w:lang w:val="en-US"/>
              </w:rPr>
            </w:pPr>
            <w:r w:rsidRPr="00BA5143">
              <w:rPr>
                <w:sz w:val="20"/>
                <w:szCs w:val="20"/>
                <w:lang w:val="en-US"/>
              </w:rPr>
              <w:t> </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1</w:t>
            </w:r>
          </w:p>
        </w:tc>
        <w:tc>
          <w:tcPr>
            <w:tcW w:w="2495"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Cash and cash equivalents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3 417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3 417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3 417</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1.1</w:t>
            </w:r>
          </w:p>
        </w:tc>
        <w:tc>
          <w:tcPr>
            <w:tcW w:w="2495"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cash funds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901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901</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1.2</w:t>
            </w:r>
          </w:p>
        </w:tc>
        <w:tc>
          <w:tcPr>
            <w:tcW w:w="2495"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funds in the National Bank of Ukraine (except for mandatory reserves)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1 837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1 837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1 837</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1.3</w:t>
            </w:r>
          </w:p>
        </w:tc>
        <w:tc>
          <w:tcPr>
            <w:tcW w:w="2495"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correspondent accounts, deposits and loans overnight in banks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679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679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679</w:t>
            </w:r>
          </w:p>
        </w:tc>
      </w:tr>
      <w:tr w:rsidR="001E4F84" w:rsidRPr="00BA5143" w:rsidTr="001E4F84">
        <w:trPr>
          <w:trHeight w:val="510"/>
        </w:trPr>
        <w:tc>
          <w:tcPr>
            <w:tcW w:w="866"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center"/>
              <w:rPr>
                <w:sz w:val="22"/>
                <w:szCs w:val="20"/>
                <w:lang w:val="en-US"/>
              </w:rPr>
            </w:pPr>
          </w:p>
          <w:p w:rsidR="001E4F84" w:rsidRPr="00BA5143" w:rsidRDefault="001E4F84">
            <w:pPr>
              <w:jc w:val="center"/>
              <w:rPr>
                <w:sz w:val="22"/>
                <w:szCs w:val="20"/>
                <w:lang w:val="en-US"/>
              </w:rPr>
            </w:pPr>
            <w:r w:rsidRPr="00BA5143">
              <w:rPr>
                <w:sz w:val="22"/>
                <w:szCs w:val="20"/>
                <w:lang w:val="en-US"/>
              </w:rPr>
              <w:t>2</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Debt securities, which are accounted for at amortized cost</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149 720</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149 720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149 720</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2.1</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Government bonds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128 629</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128 629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128 629</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2.2</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NBU deposit certificates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21 091</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21 091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21 091</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3</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Other financial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3.1.</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other financial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4</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Investment Property</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27 808</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jc w:val="right"/>
              <w:rPr>
                <w:lang w:val="en-US"/>
              </w:rPr>
            </w:pPr>
            <w:r w:rsidRPr="00BA5143">
              <w:rPr>
                <w:sz w:val="20"/>
                <w:szCs w:val="20"/>
                <w:lang w:val="en-US"/>
              </w:rPr>
              <w:t>27 808</w:t>
            </w:r>
          </w:p>
        </w:tc>
        <w:tc>
          <w:tcPr>
            <w:tcW w:w="1276" w:type="dxa"/>
            <w:tcBorders>
              <w:top w:val="single" w:sz="4" w:space="0" w:color="auto"/>
              <w:left w:val="single" w:sz="4" w:space="0" w:color="auto"/>
              <w:bottom w:val="single" w:sz="4" w:space="0" w:color="auto"/>
              <w:right w:val="single" w:sz="4" w:space="0" w:color="auto"/>
            </w:tcBorders>
            <w:noWrap/>
            <w:hideMark/>
          </w:tcPr>
          <w:p w:rsidR="001E4F84" w:rsidRPr="00BA5143" w:rsidRDefault="001E4F84">
            <w:pPr>
              <w:jc w:val="right"/>
              <w:rPr>
                <w:lang w:val="en-US"/>
              </w:rPr>
            </w:pPr>
            <w:r w:rsidRPr="00BA5143">
              <w:rPr>
                <w:sz w:val="20"/>
                <w:szCs w:val="20"/>
                <w:lang w:val="en-US"/>
              </w:rPr>
              <w:t>27 808</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5</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Property, plant and equipment and intangible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28 695</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28 695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28 695</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5.1</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buildings, constructions and transmission devices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28 580</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28 580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28 580</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5.2</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intangible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115</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115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115</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6</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Total assets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3 417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56 503</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149 720</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209 640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209 640</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 xml:space="preserve">ІІ </w:t>
            </w:r>
          </w:p>
        </w:tc>
        <w:tc>
          <w:tcPr>
            <w:tcW w:w="2495" w:type="dxa"/>
            <w:tcBorders>
              <w:top w:val="single" w:sz="4" w:space="0" w:color="auto"/>
              <w:left w:val="single" w:sz="4" w:space="0" w:color="auto"/>
              <w:bottom w:val="single" w:sz="4" w:space="0" w:color="auto"/>
              <w:right w:val="single" w:sz="4" w:space="0" w:color="auto"/>
            </w:tcBorders>
            <w:vAlign w:val="bottom"/>
            <w:hideMark/>
          </w:tcPr>
          <w:p w:rsidR="001E4F84" w:rsidRPr="00BA5143" w:rsidRDefault="001E4F84">
            <w:pPr>
              <w:rPr>
                <w:sz w:val="20"/>
                <w:szCs w:val="20"/>
                <w:lang w:val="en-US"/>
              </w:rPr>
            </w:pPr>
            <w:r w:rsidRPr="00BA5143">
              <w:rPr>
                <w:sz w:val="20"/>
                <w:szCs w:val="20"/>
                <w:lang w:val="en-US"/>
              </w:rPr>
              <w:t>LIABILITY</w:t>
            </w:r>
          </w:p>
        </w:tc>
        <w:tc>
          <w:tcPr>
            <w:tcW w:w="1332"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right"/>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right"/>
              <w:rPr>
                <w:sz w:val="20"/>
                <w:szCs w:val="20"/>
                <w:lang w:val="en-US"/>
              </w:rPr>
            </w:pPr>
          </w:p>
        </w:tc>
        <w:tc>
          <w:tcPr>
            <w:tcW w:w="1544"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right"/>
              <w:rPr>
                <w:sz w:val="20"/>
                <w:szCs w:val="20"/>
                <w:lang w:val="en-US"/>
              </w:rPr>
            </w:pPr>
          </w:p>
        </w:tc>
        <w:tc>
          <w:tcPr>
            <w:tcW w:w="1354"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right"/>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1E4F84" w:rsidRPr="00BA5143" w:rsidRDefault="001E4F84">
            <w:pPr>
              <w:jc w:val="right"/>
              <w:rPr>
                <w:sz w:val="20"/>
                <w:szCs w:val="20"/>
                <w:lang w:val="en-US"/>
              </w:rPr>
            </w:pP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7</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Customer funds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7.1</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Other legal liabilities</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r>
      <w:tr w:rsidR="001E4F84" w:rsidRPr="00BA5143" w:rsidTr="001E4F84">
        <w:trPr>
          <w:trHeight w:val="255"/>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2"/>
                <w:szCs w:val="20"/>
                <w:lang w:val="en-US"/>
              </w:rPr>
            </w:pPr>
            <w:r w:rsidRPr="00BA5143">
              <w:rPr>
                <w:sz w:val="22"/>
                <w:szCs w:val="20"/>
                <w:lang w:val="en-US"/>
              </w:rPr>
              <w:t>8</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Subordinated debt</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23 296</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23 296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23 296</w:t>
            </w:r>
          </w:p>
        </w:tc>
      </w:tr>
      <w:tr w:rsidR="001E4F84" w:rsidRPr="00BA5143" w:rsidTr="001E4F84">
        <w:trPr>
          <w:trHeight w:val="27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b/>
                <w:bCs/>
                <w:sz w:val="22"/>
                <w:szCs w:val="20"/>
                <w:lang w:val="en-US"/>
              </w:rPr>
            </w:pPr>
            <w:r w:rsidRPr="00BA5143">
              <w:rPr>
                <w:b/>
                <w:bCs/>
                <w:sz w:val="22"/>
                <w:szCs w:val="20"/>
                <w:lang w:val="en-US"/>
              </w:rPr>
              <w:t>9</w:t>
            </w:r>
          </w:p>
        </w:tc>
        <w:tc>
          <w:tcPr>
            <w:tcW w:w="2495"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b/>
                <w:bCs/>
                <w:sz w:val="20"/>
                <w:szCs w:val="20"/>
                <w:lang w:val="en-US"/>
              </w:rPr>
            </w:pPr>
            <w:r w:rsidRPr="00BA5143">
              <w:rPr>
                <w:b/>
                <w:bCs/>
                <w:sz w:val="20"/>
                <w:szCs w:val="20"/>
                <w:lang w:val="en-US"/>
              </w:rPr>
              <w:t>Total liability</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b/>
                <w:bCs/>
                <w:sz w:val="20"/>
                <w:szCs w:val="20"/>
                <w:lang w:val="en-US"/>
              </w:rPr>
              <w:t>-</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b/>
                <w:bCs/>
                <w:sz w:val="20"/>
                <w:szCs w:val="20"/>
                <w:lang w:val="en-US"/>
              </w:rPr>
              <w:t>25 840</w:t>
            </w:r>
          </w:p>
        </w:tc>
        <w:tc>
          <w:tcPr>
            <w:tcW w:w="1354"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lang w:val="en-US"/>
              </w:rPr>
            </w:pPr>
            <w:r w:rsidRPr="00BA5143">
              <w:rPr>
                <w:b/>
                <w:bCs/>
                <w:sz w:val="20"/>
                <w:szCs w:val="20"/>
                <w:lang w:val="en-US"/>
              </w:rPr>
              <w:t>25 840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right"/>
              <w:rPr>
                <w:lang w:val="en-US"/>
              </w:rPr>
            </w:pPr>
            <w:r w:rsidRPr="00BA5143">
              <w:rPr>
                <w:b/>
                <w:bCs/>
                <w:sz w:val="20"/>
                <w:szCs w:val="20"/>
                <w:lang w:val="en-US"/>
              </w:rPr>
              <w:t>25 840</w:t>
            </w:r>
          </w:p>
        </w:tc>
      </w:tr>
    </w:tbl>
    <w:p w:rsidR="00502E63" w:rsidRDefault="00502E63" w:rsidP="008A4B9A">
      <w:pPr>
        <w:spacing w:line="240" w:lineRule="exact"/>
        <w:jc w:val="both"/>
        <w:rPr>
          <w:b/>
          <w:highlight w:val="yellow"/>
          <w:lang w:val="en-US"/>
        </w:rPr>
      </w:pPr>
    </w:p>
    <w:p w:rsidR="006B44D8" w:rsidRPr="00BA5143" w:rsidRDefault="006B44D8" w:rsidP="008A4B9A">
      <w:pPr>
        <w:spacing w:line="240" w:lineRule="exact"/>
        <w:jc w:val="both"/>
        <w:rPr>
          <w:b/>
          <w:highlight w:val="yellow"/>
          <w:lang w:val="en-US"/>
        </w:rPr>
      </w:pPr>
    </w:p>
    <w:p w:rsidR="00F7719D" w:rsidRPr="00BA5143" w:rsidRDefault="004A5E7E" w:rsidP="008B0277">
      <w:pPr>
        <w:ind w:firstLine="567"/>
        <w:jc w:val="both"/>
        <w:rPr>
          <w:b/>
          <w:lang w:val="en-US"/>
        </w:rPr>
      </w:pPr>
      <w:r w:rsidRPr="00BA5143">
        <w:rPr>
          <w:b/>
          <w:lang w:val="en-US"/>
        </w:rPr>
        <w:t>NOTE 29. SUBMISSION OF FINANCIAL INSTRUMENTS BY EVALUATION CATEGORIES</w:t>
      </w:r>
    </w:p>
    <w:p w:rsidR="004A5E7E" w:rsidRPr="00BA5143" w:rsidRDefault="004A5E7E" w:rsidP="008B0277">
      <w:pPr>
        <w:ind w:firstLine="567"/>
        <w:jc w:val="both"/>
        <w:rPr>
          <w:lang w:val="en-US"/>
        </w:rPr>
      </w:pPr>
    </w:p>
    <w:p w:rsidR="008B0277" w:rsidRPr="00BA5143" w:rsidRDefault="004A5E7E" w:rsidP="00502E63">
      <w:pPr>
        <w:spacing w:line="240" w:lineRule="exact"/>
        <w:jc w:val="both"/>
        <w:rPr>
          <w:lang w:val="en-US"/>
        </w:rPr>
      </w:pPr>
      <w:r w:rsidRPr="00BA5143">
        <w:rPr>
          <w:lang w:val="en-US"/>
        </w:rPr>
        <w:t>For the purpose of measuring IFRS 9, "Financial Instruments" establishes the following cogeneration of financial assets: (a) financial assets carried at amortized cost; (b) financial assets carried at fair value through other comprehensive income; (c) financial assets that are</w:t>
      </w:r>
      <w:r w:rsidR="00C13E4C" w:rsidRPr="00BA5143">
        <w:rPr>
          <w:lang w:val="en-US"/>
        </w:rPr>
        <w:t xml:space="preserve"> </w:t>
      </w:r>
      <w:r w:rsidRPr="00BA5143">
        <w:rPr>
          <w:lang w:val="en-US"/>
        </w:rPr>
        <w:t>recorded at fair value through profit / (loss). All financial assets of the Bank as of 31 December 2018 and 31 December 2017 are classified in the category of financial assets lumped at amortized cost in the following structure:</w:t>
      </w:r>
    </w:p>
    <w:p w:rsidR="004A5E7E" w:rsidRPr="00BA5143" w:rsidRDefault="004A5E7E" w:rsidP="00502E63">
      <w:pPr>
        <w:spacing w:line="240" w:lineRule="exact"/>
        <w:jc w:val="both"/>
        <w:rPr>
          <w:b/>
          <w:lang w:val="en-US"/>
        </w:rPr>
      </w:pPr>
    </w:p>
    <w:p w:rsidR="00D33BE9" w:rsidRPr="00BA5143" w:rsidRDefault="00D33BE9" w:rsidP="001E4F84">
      <w:pPr>
        <w:spacing w:line="240" w:lineRule="exact"/>
        <w:rPr>
          <w:b/>
          <w:lang w:val="en-US"/>
        </w:rPr>
      </w:pPr>
    </w:p>
    <w:p w:rsidR="001E4F84" w:rsidRPr="00BA5143" w:rsidRDefault="001E4F84" w:rsidP="001E4F84">
      <w:pPr>
        <w:spacing w:line="240" w:lineRule="exact"/>
        <w:rPr>
          <w:b/>
          <w:lang w:val="en-US"/>
        </w:rPr>
      </w:pPr>
      <w:r w:rsidRPr="00BA5143">
        <w:rPr>
          <w:b/>
          <w:lang w:val="en-US"/>
        </w:rPr>
        <w:t xml:space="preserve">Table 29.1. Financial assets by rating category </w:t>
      </w:r>
    </w:p>
    <w:p w:rsidR="001E4F84" w:rsidRDefault="001E4F84" w:rsidP="001E4F84">
      <w:pPr>
        <w:spacing w:line="240" w:lineRule="exact"/>
        <w:ind w:firstLine="567"/>
        <w:jc w:val="right"/>
        <w:rPr>
          <w:lang w:val="en-US"/>
        </w:rPr>
      </w:pPr>
      <w:r w:rsidRPr="00BA5143">
        <w:rPr>
          <w:lang w:val="en-US"/>
        </w:rPr>
        <w:t xml:space="preserve">(ths. </w:t>
      </w:r>
      <w:proofErr w:type="gramStart"/>
      <w:r w:rsidRPr="00BA5143">
        <w:rPr>
          <w:lang w:val="en-US"/>
        </w:rPr>
        <w:t>UAH.)</w:t>
      </w:r>
      <w:proofErr w:type="gramEnd"/>
    </w:p>
    <w:p w:rsidR="006B44D8" w:rsidRPr="00BA5143" w:rsidRDefault="006B44D8" w:rsidP="001E4F84">
      <w:pPr>
        <w:spacing w:line="240" w:lineRule="exact"/>
        <w:ind w:firstLine="567"/>
        <w:jc w:val="right"/>
        <w:rPr>
          <w:lang w:val="en-US"/>
        </w:rPr>
      </w:pPr>
    </w:p>
    <w:tbl>
      <w:tblPr>
        <w:tblW w:w="9375" w:type="dxa"/>
        <w:tblInd w:w="93" w:type="dxa"/>
        <w:tblLayout w:type="fixed"/>
        <w:tblLook w:val="04A0"/>
      </w:tblPr>
      <w:tblGrid>
        <w:gridCol w:w="760"/>
        <w:gridCol w:w="5211"/>
        <w:gridCol w:w="1702"/>
        <w:gridCol w:w="1702"/>
      </w:tblGrid>
      <w:tr w:rsidR="001E4F84" w:rsidRPr="006C58AD" w:rsidTr="001E4F84">
        <w:trPr>
          <w:trHeight w:val="519"/>
        </w:trPr>
        <w:tc>
          <w:tcPr>
            <w:tcW w:w="760" w:type="dxa"/>
            <w:vMerge w:val="restart"/>
            <w:tcBorders>
              <w:top w:val="single" w:sz="8" w:space="0" w:color="auto"/>
              <w:left w:val="single" w:sz="8" w:space="0" w:color="auto"/>
              <w:bottom w:val="single" w:sz="4" w:space="0" w:color="auto"/>
              <w:right w:val="single" w:sz="4" w:space="0" w:color="auto"/>
            </w:tcBorders>
            <w:noWrap/>
            <w:vAlign w:val="center"/>
            <w:hideMark/>
          </w:tcPr>
          <w:p w:rsidR="001E4F84" w:rsidRPr="00BA5143" w:rsidRDefault="001E4F84">
            <w:pPr>
              <w:jc w:val="center"/>
              <w:rPr>
                <w:sz w:val="20"/>
                <w:szCs w:val="20"/>
                <w:lang w:val="en-US"/>
              </w:rPr>
            </w:pPr>
            <w:r w:rsidRPr="00BA5143">
              <w:rPr>
                <w:sz w:val="20"/>
                <w:szCs w:val="20"/>
                <w:lang w:val="en-US"/>
              </w:rPr>
              <w:t>Line</w:t>
            </w:r>
          </w:p>
        </w:tc>
        <w:tc>
          <w:tcPr>
            <w:tcW w:w="5209"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Item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jc w:val="center"/>
              <w:rPr>
                <w:sz w:val="20"/>
                <w:szCs w:val="20"/>
                <w:lang w:val="en-US"/>
              </w:rPr>
            </w:pPr>
            <w:r w:rsidRPr="00BA5143">
              <w:rPr>
                <w:sz w:val="20"/>
                <w:szCs w:val="20"/>
                <w:lang w:val="en-US"/>
              </w:rPr>
              <w:t>Financial assets carried at amortized cost</w:t>
            </w:r>
          </w:p>
        </w:tc>
      </w:tr>
      <w:tr w:rsidR="001E4F84" w:rsidRPr="00BA5143" w:rsidTr="001E4F84">
        <w:trPr>
          <w:trHeight w:val="255"/>
        </w:trPr>
        <w:tc>
          <w:tcPr>
            <w:tcW w:w="760" w:type="dxa"/>
            <w:vMerge/>
            <w:tcBorders>
              <w:top w:val="single" w:sz="8" w:space="0" w:color="auto"/>
              <w:left w:val="single" w:sz="8"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2018</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2017</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1</w:t>
            </w:r>
          </w:p>
        </w:tc>
        <w:tc>
          <w:tcPr>
            <w:tcW w:w="5209"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3</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4</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5209" w:type="dxa"/>
            <w:tcBorders>
              <w:top w:val="nil"/>
              <w:left w:val="nil"/>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FINANCIAL ASSETS</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rPr>
                <w:sz w:val="20"/>
                <w:szCs w:val="20"/>
                <w:lang w:val="en-US"/>
              </w:rPr>
            </w:pPr>
            <w:r w:rsidRPr="00BA5143">
              <w:rPr>
                <w:sz w:val="20"/>
                <w:szCs w:val="20"/>
                <w:lang w:val="en-US"/>
              </w:rPr>
              <w:t> </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1</w:t>
            </w:r>
          </w:p>
        </w:tc>
        <w:tc>
          <w:tcPr>
            <w:tcW w:w="5209" w:type="dxa"/>
            <w:tcBorders>
              <w:top w:val="nil"/>
              <w:left w:val="nil"/>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Cash and cash equivalents</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3 289</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3 417-</w:t>
            </w:r>
          </w:p>
        </w:tc>
      </w:tr>
      <w:tr w:rsidR="001E4F84" w:rsidRPr="00BA5143" w:rsidTr="001E4F84">
        <w:trPr>
          <w:trHeight w:val="181"/>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w:t>
            </w:r>
          </w:p>
        </w:tc>
        <w:tc>
          <w:tcPr>
            <w:tcW w:w="5209" w:type="dxa"/>
            <w:tcBorders>
              <w:top w:val="nil"/>
              <w:left w:val="nil"/>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Investments in securities</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169 043</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149 720</w:t>
            </w:r>
          </w:p>
        </w:tc>
      </w:tr>
      <w:tr w:rsidR="001E4F84" w:rsidRPr="00BA5143" w:rsidTr="001E4F84">
        <w:trPr>
          <w:trHeight w:val="270"/>
        </w:trPr>
        <w:tc>
          <w:tcPr>
            <w:tcW w:w="760" w:type="dxa"/>
            <w:tcBorders>
              <w:top w:val="nil"/>
              <w:left w:val="single" w:sz="8" w:space="0" w:color="auto"/>
              <w:bottom w:val="single" w:sz="8" w:space="0" w:color="auto"/>
              <w:right w:val="single" w:sz="4" w:space="0" w:color="auto"/>
            </w:tcBorders>
            <w:noWrap/>
            <w:vAlign w:val="bottom"/>
            <w:hideMark/>
          </w:tcPr>
          <w:p w:rsidR="001E4F84" w:rsidRPr="00BA5143" w:rsidRDefault="001E4F84">
            <w:pPr>
              <w:jc w:val="center"/>
              <w:rPr>
                <w:b/>
                <w:bCs/>
                <w:sz w:val="20"/>
                <w:szCs w:val="20"/>
                <w:lang w:val="en-US"/>
              </w:rPr>
            </w:pPr>
            <w:r w:rsidRPr="00BA5143">
              <w:rPr>
                <w:b/>
                <w:bCs/>
                <w:sz w:val="20"/>
                <w:szCs w:val="20"/>
                <w:lang w:val="en-US"/>
              </w:rPr>
              <w:t>3</w:t>
            </w:r>
          </w:p>
        </w:tc>
        <w:tc>
          <w:tcPr>
            <w:tcW w:w="5209" w:type="dxa"/>
            <w:tcBorders>
              <w:top w:val="nil"/>
              <w:left w:val="nil"/>
              <w:bottom w:val="single" w:sz="8" w:space="0" w:color="auto"/>
              <w:right w:val="single" w:sz="4" w:space="0" w:color="auto"/>
            </w:tcBorders>
            <w:hideMark/>
          </w:tcPr>
          <w:p w:rsidR="001E4F84" w:rsidRPr="00BA5143" w:rsidRDefault="001E4F84">
            <w:pPr>
              <w:rPr>
                <w:b/>
                <w:bCs/>
                <w:sz w:val="20"/>
                <w:szCs w:val="20"/>
                <w:lang w:val="en-US"/>
              </w:rPr>
            </w:pPr>
            <w:r w:rsidRPr="00BA5143">
              <w:rPr>
                <w:b/>
                <w:bCs/>
                <w:sz w:val="20"/>
                <w:szCs w:val="20"/>
                <w:lang w:val="en-US"/>
              </w:rPr>
              <w:t>Total financial assets</w:t>
            </w:r>
          </w:p>
        </w:tc>
        <w:tc>
          <w:tcPr>
            <w:tcW w:w="1701" w:type="dxa"/>
            <w:tcBorders>
              <w:top w:val="nil"/>
              <w:left w:val="nil"/>
              <w:bottom w:val="single" w:sz="8"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sz w:val="20"/>
                <w:szCs w:val="20"/>
                <w:lang w:val="en-US"/>
              </w:rPr>
              <w:t>172 332</w:t>
            </w:r>
          </w:p>
        </w:tc>
        <w:tc>
          <w:tcPr>
            <w:tcW w:w="1701" w:type="dxa"/>
            <w:tcBorders>
              <w:top w:val="nil"/>
              <w:left w:val="nil"/>
              <w:bottom w:val="single" w:sz="8"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sz w:val="20"/>
                <w:szCs w:val="20"/>
                <w:lang w:val="en-US"/>
              </w:rPr>
              <w:t>153 137</w:t>
            </w:r>
          </w:p>
        </w:tc>
      </w:tr>
    </w:tbl>
    <w:p w:rsidR="00502E63" w:rsidRPr="00BA5143" w:rsidRDefault="00502E63" w:rsidP="0053309E">
      <w:pPr>
        <w:spacing w:line="240" w:lineRule="exact"/>
        <w:jc w:val="both"/>
        <w:rPr>
          <w:b/>
          <w:highlight w:val="yellow"/>
          <w:lang w:val="en-US"/>
        </w:rPr>
      </w:pPr>
    </w:p>
    <w:p w:rsidR="004A5E7E" w:rsidRPr="00BA5143" w:rsidRDefault="004A5E7E" w:rsidP="001437D7">
      <w:pPr>
        <w:spacing w:line="240" w:lineRule="exact"/>
        <w:jc w:val="both"/>
        <w:rPr>
          <w:lang w:val="en-US"/>
        </w:rPr>
      </w:pPr>
      <w:r w:rsidRPr="00BA5143">
        <w:rPr>
          <w:lang w:val="en-US"/>
        </w:rPr>
        <w:t>Financial liabilities of the Bank are classified by the Bank as financial liabilities carried at amortized cost and as at 31 December 2018 and 31 December 2017 have the following structure:</w:t>
      </w:r>
    </w:p>
    <w:p w:rsidR="004A5E7E" w:rsidRPr="00BA5143" w:rsidRDefault="004A5E7E" w:rsidP="001437D7">
      <w:pPr>
        <w:spacing w:line="240" w:lineRule="exact"/>
        <w:jc w:val="both"/>
        <w:rPr>
          <w:lang w:val="en-US"/>
        </w:rPr>
      </w:pPr>
    </w:p>
    <w:p w:rsidR="006B44D8" w:rsidRDefault="006B44D8" w:rsidP="001E4F84">
      <w:pPr>
        <w:spacing w:line="240" w:lineRule="exact"/>
        <w:rPr>
          <w:b/>
          <w:lang w:val="en-US"/>
        </w:rPr>
      </w:pPr>
    </w:p>
    <w:p w:rsidR="001E4F84" w:rsidRPr="00BA5143" w:rsidRDefault="001E4F84" w:rsidP="001E4F84">
      <w:pPr>
        <w:spacing w:line="240" w:lineRule="exact"/>
        <w:rPr>
          <w:b/>
          <w:lang w:val="en-US"/>
        </w:rPr>
      </w:pPr>
      <w:proofErr w:type="gramStart"/>
      <w:r w:rsidRPr="00BA5143">
        <w:rPr>
          <w:b/>
          <w:lang w:val="en-US"/>
        </w:rPr>
        <w:t>Table 29.2.</w:t>
      </w:r>
      <w:proofErr w:type="gramEnd"/>
      <w:r w:rsidRPr="00BA5143">
        <w:rPr>
          <w:b/>
          <w:lang w:val="en-US"/>
        </w:rPr>
        <w:t xml:space="preserve"> Financial liabilities by rating category </w:t>
      </w:r>
    </w:p>
    <w:p w:rsidR="001E4F84" w:rsidRDefault="001E4F84" w:rsidP="001E4F84">
      <w:pPr>
        <w:spacing w:line="240" w:lineRule="exact"/>
        <w:ind w:firstLine="567"/>
        <w:jc w:val="right"/>
        <w:rPr>
          <w:lang w:val="en-US"/>
        </w:rPr>
      </w:pPr>
      <w:r w:rsidRPr="00BA5143">
        <w:rPr>
          <w:lang w:val="en-US"/>
        </w:rPr>
        <w:t xml:space="preserve">(ths. </w:t>
      </w:r>
      <w:proofErr w:type="gramStart"/>
      <w:r w:rsidRPr="00BA5143">
        <w:rPr>
          <w:lang w:val="en-US"/>
        </w:rPr>
        <w:t>UAH.)</w:t>
      </w:r>
      <w:proofErr w:type="gramEnd"/>
    </w:p>
    <w:p w:rsidR="006B44D8" w:rsidRPr="00BA5143" w:rsidRDefault="006B44D8" w:rsidP="001E4F84">
      <w:pPr>
        <w:spacing w:line="240" w:lineRule="exact"/>
        <w:ind w:firstLine="567"/>
        <w:jc w:val="right"/>
        <w:rPr>
          <w:lang w:val="en-US"/>
        </w:rPr>
      </w:pPr>
    </w:p>
    <w:tbl>
      <w:tblPr>
        <w:tblW w:w="9375" w:type="dxa"/>
        <w:tblInd w:w="93" w:type="dxa"/>
        <w:tblLayout w:type="fixed"/>
        <w:tblLook w:val="04A0"/>
      </w:tblPr>
      <w:tblGrid>
        <w:gridCol w:w="760"/>
        <w:gridCol w:w="5211"/>
        <w:gridCol w:w="1702"/>
        <w:gridCol w:w="1702"/>
      </w:tblGrid>
      <w:tr w:rsidR="001E4F84" w:rsidRPr="006C58AD" w:rsidTr="001E4F84">
        <w:trPr>
          <w:trHeight w:val="519"/>
        </w:trPr>
        <w:tc>
          <w:tcPr>
            <w:tcW w:w="760" w:type="dxa"/>
            <w:vMerge w:val="restart"/>
            <w:tcBorders>
              <w:top w:val="single" w:sz="8" w:space="0" w:color="auto"/>
              <w:left w:val="single" w:sz="8" w:space="0" w:color="auto"/>
              <w:bottom w:val="single" w:sz="4" w:space="0" w:color="auto"/>
              <w:right w:val="single" w:sz="4" w:space="0" w:color="auto"/>
            </w:tcBorders>
            <w:noWrap/>
            <w:vAlign w:val="center"/>
            <w:hideMark/>
          </w:tcPr>
          <w:p w:rsidR="001E4F84" w:rsidRPr="00BA5143" w:rsidRDefault="001E4F84">
            <w:pPr>
              <w:jc w:val="center"/>
              <w:rPr>
                <w:sz w:val="20"/>
                <w:szCs w:val="20"/>
                <w:lang w:val="en-US"/>
              </w:rPr>
            </w:pPr>
            <w:r w:rsidRPr="00BA5143">
              <w:rPr>
                <w:sz w:val="20"/>
                <w:szCs w:val="20"/>
                <w:lang w:val="en-US"/>
              </w:rPr>
              <w:t>Line</w:t>
            </w:r>
          </w:p>
        </w:tc>
        <w:tc>
          <w:tcPr>
            <w:tcW w:w="5209" w:type="dxa"/>
            <w:vMerge w:val="restart"/>
            <w:tcBorders>
              <w:top w:val="single" w:sz="4" w:space="0" w:color="auto"/>
              <w:left w:val="single" w:sz="4"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Item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jc w:val="center"/>
              <w:rPr>
                <w:sz w:val="20"/>
                <w:szCs w:val="20"/>
                <w:lang w:val="en-US"/>
              </w:rPr>
            </w:pPr>
            <w:r w:rsidRPr="00BA5143">
              <w:rPr>
                <w:sz w:val="20"/>
                <w:szCs w:val="20"/>
                <w:lang w:val="en-US"/>
              </w:rPr>
              <w:t>Financial liabilities that are accounted for at amortized cost</w:t>
            </w:r>
          </w:p>
        </w:tc>
      </w:tr>
      <w:tr w:rsidR="001E4F84" w:rsidRPr="00BA5143" w:rsidTr="001E4F84">
        <w:trPr>
          <w:trHeight w:val="255"/>
        </w:trPr>
        <w:tc>
          <w:tcPr>
            <w:tcW w:w="760" w:type="dxa"/>
            <w:vMerge/>
            <w:tcBorders>
              <w:top w:val="single" w:sz="8" w:space="0" w:color="auto"/>
              <w:left w:val="single" w:sz="8"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5209" w:type="dxa"/>
            <w:vMerge/>
            <w:tcBorders>
              <w:top w:val="single" w:sz="4" w:space="0" w:color="auto"/>
              <w:left w:val="single" w:sz="4" w:space="0" w:color="auto"/>
              <w:bottom w:val="single" w:sz="4" w:space="0" w:color="auto"/>
              <w:right w:val="single" w:sz="4" w:space="0" w:color="auto"/>
            </w:tcBorders>
            <w:vAlign w:val="center"/>
            <w:hideMark/>
          </w:tcPr>
          <w:p w:rsidR="001E4F84" w:rsidRPr="00BA5143" w:rsidRDefault="001E4F84">
            <w:pPr>
              <w:rPr>
                <w:sz w:val="20"/>
                <w:szCs w:val="20"/>
                <w:lang w:val="en-US"/>
              </w:rPr>
            </w:pP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2018</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2017</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1</w:t>
            </w:r>
          </w:p>
        </w:tc>
        <w:tc>
          <w:tcPr>
            <w:tcW w:w="5209"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3</w:t>
            </w:r>
          </w:p>
        </w:tc>
        <w:tc>
          <w:tcPr>
            <w:tcW w:w="1701" w:type="dxa"/>
            <w:tcBorders>
              <w:top w:val="single" w:sz="4" w:space="0" w:color="auto"/>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4</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5209" w:type="dxa"/>
            <w:tcBorders>
              <w:top w:val="nil"/>
              <w:left w:val="nil"/>
              <w:bottom w:val="single" w:sz="4" w:space="0" w:color="auto"/>
              <w:right w:val="single" w:sz="4" w:space="0" w:color="auto"/>
            </w:tcBorders>
            <w:noWrap/>
            <w:hideMark/>
          </w:tcPr>
          <w:p w:rsidR="001E4F84" w:rsidRPr="00BA5143" w:rsidRDefault="001E4F84">
            <w:pPr>
              <w:rPr>
                <w:sz w:val="20"/>
                <w:szCs w:val="20"/>
                <w:lang w:val="en-US"/>
              </w:rPr>
            </w:pPr>
            <w:r w:rsidRPr="00BA5143">
              <w:rPr>
                <w:sz w:val="20"/>
                <w:szCs w:val="20"/>
                <w:lang w:val="en-US"/>
              </w:rPr>
              <w:t>FINANCIAL LIABILITIES</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 </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rPr>
                <w:sz w:val="20"/>
                <w:szCs w:val="20"/>
                <w:lang w:val="en-US"/>
              </w:rPr>
            </w:pPr>
            <w:r w:rsidRPr="00BA5143">
              <w:rPr>
                <w:sz w:val="20"/>
                <w:szCs w:val="20"/>
                <w:lang w:val="en-US"/>
              </w:rPr>
              <w:t> </w:t>
            </w:r>
          </w:p>
        </w:tc>
      </w:tr>
      <w:tr w:rsidR="001E4F84" w:rsidRPr="00BA5143" w:rsidTr="001E4F84">
        <w:trPr>
          <w:trHeight w:val="255"/>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1</w:t>
            </w:r>
          </w:p>
        </w:tc>
        <w:tc>
          <w:tcPr>
            <w:tcW w:w="5209" w:type="dxa"/>
            <w:tcBorders>
              <w:top w:val="nil"/>
              <w:left w:val="nil"/>
              <w:bottom w:val="single" w:sz="4" w:space="0" w:color="auto"/>
              <w:right w:val="single" w:sz="4" w:space="0" w:color="auto"/>
            </w:tcBorders>
            <w:noWrap/>
            <w:hideMark/>
          </w:tcPr>
          <w:p w:rsidR="001E4F84" w:rsidRPr="00BA5143" w:rsidRDefault="00C13E4C">
            <w:pPr>
              <w:rPr>
                <w:sz w:val="20"/>
                <w:szCs w:val="20"/>
                <w:lang w:val="en-US"/>
              </w:rPr>
            </w:pPr>
            <w:r w:rsidRPr="00BA5143">
              <w:rPr>
                <w:sz w:val="20"/>
                <w:szCs w:val="20"/>
                <w:lang w:val="en-US"/>
              </w:rPr>
              <w:t>Clients’</w:t>
            </w:r>
            <w:r w:rsidR="001E4F84" w:rsidRPr="00BA5143">
              <w:rPr>
                <w:sz w:val="20"/>
                <w:szCs w:val="20"/>
                <w:lang w:val="en-US"/>
              </w:rPr>
              <w:t xml:space="preserve"> money</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617</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2 544-</w:t>
            </w:r>
          </w:p>
        </w:tc>
      </w:tr>
      <w:tr w:rsidR="001E4F84" w:rsidRPr="00BA5143" w:rsidTr="001E4F84">
        <w:trPr>
          <w:trHeight w:val="181"/>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2</w:t>
            </w:r>
          </w:p>
        </w:tc>
        <w:tc>
          <w:tcPr>
            <w:tcW w:w="5209" w:type="dxa"/>
            <w:tcBorders>
              <w:top w:val="nil"/>
              <w:left w:val="nil"/>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Other obligations</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4</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w:t>
            </w:r>
          </w:p>
        </w:tc>
      </w:tr>
      <w:tr w:rsidR="001E4F84" w:rsidRPr="00BA5143" w:rsidTr="001E4F84">
        <w:trPr>
          <w:trHeight w:val="181"/>
        </w:trPr>
        <w:tc>
          <w:tcPr>
            <w:tcW w:w="760" w:type="dxa"/>
            <w:tcBorders>
              <w:top w:val="nil"/>
              <w:left w:val="single" w:sz="8" w:space="0" w:color="auto"/>
              <w:bottom w:val="single" w:sz="4" w:space="0" w:color="auto"/>
              <w:right w:val="single" w:sz="4" w:space="0" w:color="auto"/>
            </w:tcBorders>
            <w:noWrap/>
            <w:vAlign w:val="bottom"/>
            <w:hideMark/>
          </w:tcPr>
          <w:p w:rsidR="001E4F84" w:rsidRPr="00BA5143" w:rsidRDefault="001E4F84">
            <w:pPr>
              <w:jc w:val="center"/>
              <w:rPr>
                <w:sz w:val="20"/>
                <w:szCs w:val="20"/>
                <w:lang w:val="en-US"/>
              </w:rPr>
            </w:pPr>
            <w:r w:rsidRPr="00BA5143">
              <w:rPr>
                <w:sz w:val="20"/>
                <w:szCs w:val="20"/>
                <w:lang w:val="en-US"/>
              </w:rPr>
              <w:t>3</w:t>
            </w:r>
          </w:p>
        </w:tc>
        <w:tc>
          <w:tcPr>
            <w:tcW w:w="5209" w:type="dxa"/>
            <w:tcBorders>
              <w:top w:val="nil"/>
              <w:left w:val="nil"/>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Subordinated debt</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32 754</w:t>
            </w:r>
          </w:p>
        </w:tc>
        <w:tc>
          <w:tcPr>
            <w:tcW w:w="1701" w:type="dxa"/>
            <w:tcBorders>
              <w:top w:val="nil"/>
              <w:left w:val="nil"/>
              <w:bottom w:val="single" w:sz="4" w:space="0" w:color="auto"/>
              <w:right w:val="single" w:sz="4" w:space="0" w:color="auto"/>
            </w:tcBorders>
            <w:noWrap/>
            <w:vAlign w:val="bottom"/>
            <w:hideMark/>
          </w:tcPr>
          <w:p w:rsidR="001E4F84" w:rsidRPr="00BA5143" w:rsidRDefault="001E4F84">
            <w:pPr>
              <w:jc w:val="right"/>
              <w:rPr>
                <w:sz w:val="20"/>
                <w:szCs w:val="20"/>
                <w:lang w:val="en-US"/>
              </w:rPr>
            </w:pPr>
            <w:r w:rsidRPr="00BA5143">
              <w:rPr>
                <w:sz w:val="20"/>
                <w:szCs w:val="20"/>
                <w:lang w:val="en-US"/>
              </w:rPr>
              <w:t>23 296</w:t>
            </w:r>
          </w:p>
        </w:tc>
      </w:tr>
      <w:tr w:rsidR="001E4F84" w:rsidRPr="00BA5143" w:rsidTr="001E4F84">
        <w:trPr>
          <w:trHeight w:val="270"/>
        </w:trPr>
        <w:tc>
          <w:tcPr>
            <w:tcW w:w="760" w:type="dxa"/>
            <w:tcBorders>
              <w:top w:val="nil"/>
              <w:left w:val="single" w:sz="8" w:space="0" w:color="auto"/>
              <w:bottom w:val="single" w:sz="8" w:space="0" w:color="auto"/>
              <w:right w:val="single" w:sz="4" w:space="0" w:color="auto"/>
            </w:tcBorders>
            <w:noWrap/>
            <w:vAlign w:val="bottom"/>
            <w:hideMark/>
          </w:tcPr>
          <w:p w:rsidR="001E4F84" w:rsidRPr="00BA5143" w:rsidRDefault="001E4F84">
            <w:pPr>
              <w:jc w:val="center"/>
              <w:rPr>
                <w:b/>
                <w:bCs/>
                <w:sz w:val="20"/>
                <w:szCs w:val="20"/>
                <w:lang w:val="en-US"/>
              </w:rPr>
            </w:pPr>
            <w:r w:rsidRPr="00BA5143">
              <w:rPr>
                <w:b/>
                <w:bCs/>
                <w:sz w:val="20"/>
                <w:szCs w:val="20"/>
                <w:lang w:val="en-US"/>
              </w:rPr>
              <w:t>4</w:t>
            </w:r>
          </w:p>
        </w:tc>
        <w:tc>
          <w:tcPr>
            <w:tcW w:w="5209" w:type="dxa"/>
            <w:tcBorders>
              <w:top w:val="nil"/>
              <w:left w:val="nil"/>
              <w:bottom w:val="single" w:sz="8" w:space="0" w:color="auto"/>
              <w:right w:val="single" w:sz="4" w:space="0" w:color="auto"/>
            </w:tcBorders>
            <w:hideMark/>
          </w:tcPr>
          <w:p w:rsidR="001E4F84" w:rsidRPr="00BA5143" w:rsidRDefault="001E4F84">
            <w:pPr>
              <w:rPr>
                <w:b/>
                <w:bCs/>
                <w:sz w:val="20"/>
                <w:szCs w:val="20"/>
                <w:lang w:val="en-US"/>
              </w:rPr>
            </w:pPr>
            <w:r w:rsidRPr="00BA5143">
              <w:rPr>
                <w:b/>
                <w:bCs/>
                <w:sz w:val="20"/>
                <w:szCs w:val="20"/>
                <w:lang w:val="en-US"/>
              </w:rPr>
              <w:t>Total financial liabilities</w:t>
            </w:r>
          </w:p>
        </w:tc>
        <w:tc>
          <w:tcPr>
            <w:tcW w:w="1701" w:type="dxa"/>
            <w:tcBorders>
              <w:top w:val="nil"/>
              <w:left w:val="nil"/>
              <w:bottom w:val="single" w:sz="8"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sz w:val="20"/>
                <w:szCs w:val="20"/>
                <w:lang w:val="en-US"/>
              </w:rPr>
              <w:t>33 375</w:t>
            </w:r>
          </w:p>
        </w:tc>
        <w:tc>
          <w:tcPr>
            <w:tcW w:w="1701" w:type="dxa"/>
            <w:tcBorders>
              <w:top w:val="nil"/>
              <w:left w:val="nil"/>
              <w:bottom w:val="single" w:sz="8" w:space="0" w:color="auto"/>
              <w:right w:val="single" w:sz="4" w:space="0" w:color="auto"/>
            </w:tcBorders>
            <w:noWrap/>
            <w:vAlign w:val="bottom"/>
            <w:hideMark/>
          </w:tcPr>
          <w:p w:rsidR="001E4F84" w:rsidRPr="00BA5143" w:rsidRDefault="001E4F84">
            <w:pPr>
              <w:jc w:val="right"/>
              <w:rPr>
                <w:b/>
                <w:bCs/>
                <w:sz w:val="20"/>
                <w:szCs w:val="20"/>
                <w:lang w:val="en-US"/>
              </w:rPr>
            </w:pPr>
            <w:r w:rsidRPr="00BA5143">
              <w:rPr>
                <w:sz w:val="20"/>
                <w:szCs w:val="20"/>
                <w:lang w:val="en-US"/>
              </w:rPr>
              <w:t>25 840</w:t>
            </w:r>
          </w:p>
        </w:tc>
      </w:tr>
    </w:tbl>
    <w:p w:rsidR="001437D7" w:rsidRPr="00BA5143" w:rsidRDefault="001437D7" w:rsidP="0053309E">
      <w:pPr>
        <w:spacing w:line="240" w:lineRule="exact"/>
        <w:jc w:val="both"/>
        <w:rPr>
          <w:b/>
          <w:highlight w:val="yellow"/>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6B44D8" w:rsidRDefault="006B44D8" w:rsidP="004A5E7E">
      <w:pPr>
        <w:spacing w:line="240" w:lineRule="exact"/>
        <w:ind w:firstLine="567"/>
        <w:jc w:val="both"/>
        <w:rPr>
          <w:b/>
          <w:lang w:val="en-US"/>
        </w:rPr>
      </w:pPr>
    </w:p>
    <w:p w:rsidR="004A5E7E" w:rsidRPr="00BA5143" w:rsidRDefault="004A5E7E" w:rsidP="004A5E7E">
      <w:pPr>
        <w:spacing w:line="240" w:lineRule="exact"/>
        <w:ind w:firstLine="567"/>
        <w:jc w:val="both"/>
        <w:rPr>
          <w:b/>
          <w:lang w:val="en-US"/>
        </w:rPr>
      </w:pPr>
      <w:proofErr w:type="gramStart"/>
      <w:r w:rsidRPr="00BA5143">
        <w:rPr>
          <w:b/>
          <w:lang w:val="en-US"/>
        </w:rPr>
        <w:t>NOTE 30.</w:t>
      </w:r>
      <w:proofErr w:type="gramEnd"/>
      <w:r w:rsidRPr="00BA5143">
        <w:rPr>
          <w:b/>
          <w:lang w:val="en-US"/>
        </w:rPr>
        <w:t xml:space="preserve"> OPERATIONS WITH RELEVANT PARTIES</w:t>
      </w:r>
    </w:p>
    <w:p w:rsidR="004A5E7E" w:rsidRPr="00BA5143" w:rsidRDefault="004A5E7E" w:rsidP="004A5E7E">
      <w:pPr>
        <w:spacing w:line="240" w:lineRule="exact"/>
        <w:ind w:firstLine="567"/>
        <w:jc w:val="both"/>
        <w:rPr>
          <w:b/>
          <w:lang w:val="en-US"/>
        </w:rPr>
      </w:pPr>
    </w:p>
    <w:p w:rsidR="004A5E7E" w:rsidRPr="00BA5143" w:rsidRDefault="004A5E7E" w:rsidP="004A5E7E">
      <w:pPr>
        <w:spacing w:line="240" w:lineRule="exact"/>
        <w:ind w:firstLine="567"/>
        <w:jc w:val="both"/>
        <w:rPr>
          <w:bCs/>
          <w:lang w:val="en-US"/>
        </w:rPr>
      </w:pPr>
      <w:r w:rsidRPr="00BA5143">
        <w:rPr>
          <w:bCs/>
          <w:lang w:val="en-US"/>
        </w:rPr>
        <w:t>In the course of its ordinary activities, the Bank carries out operations with various counterparties. Parties are considered to be related if one party has the ability to control the other party or has a significant influence on the other party when making managerial decisions.</w:t>
      </w:r>
    </w:p>
    <w:p w:rsidR="00AD49B2" w:rsidRPr="00BA5143" w:rsidRDefault="004A5E7E" w:rsidP="004A5E7E">
      <w:pPr>
        <w:spacing w:line="240" w:lineRule="exact"/>
        <w:ind w:firstLine="567"/>
        <w:jc w:val="both"/>
        <w:rPr>
          <w:bCs/>
          <w:lang w:val="en-US"/>
        </w:rPr>
      </w:pPr>
      <w:r w:rsidRPr="00BA5143">
        <w:rPr>
          <w:bCs/>
          <w:lang w:val="en-US"/>
        </w:rPr>
        <w:t xml:space="preserve">As of </w:t>
      </w:r>
      <w:r w:rsidR="00C13E4C" w:rsidRPr="00BA5143">
        <w:rPr>
          <w:bCs/>
          <w:lang w:val="en-US"/>
        </w:rPr>
        <w:t>December 31, 2018,</w:t>
      </w:r>
      <w:r w:rsidRPr="00BA5143">
        <w:rPr>
          <w:bCs/>
          <w:lang w:val="en-US"/>
        </w:rPr>
        <w:t xml:space="preserve"> and December 31, 2017, the sole shareholder of the bank, which owns 100% of the authorized capital of the Bank, was the “BOSE (HONGKONG) KO., LIMITED” (Ukraine).</w:t>
      </w:r>
    </w:p>
    <w:p w:rsidR="004A5E7E" w:rsidRPr="00BA5143" w:rsidRDefault="004A5E7E" w:rsidP="004A5E7E">
      <w:pPr>
        <w:spacing w:line="240" w:lineRule="exact"/>
        <w:ind w:firstLine="567"/>
        <w:jc w:val="both"/>
        <w:rPr>
          <w:highlight w:val="yellow"/>
          <w:lang w:val="en-US"/>
        </w:rPr>
      </w:pPr>
    </w:p>
    <w:p w:rsidR="001E4F84" w:rsidRPr="00BA5143" w:rsidRDefault="001E4F84" w:rsidP="001E4F84">
      <w:pPr>
        <w:spacing w:line="240" w:lineRule="exact"/>
        <w:rPr>
          <w:b/>
          <w:lang w:val="en-US"/>
        </w:rPr>
      </w:pPr>
      <w:r w:rsidRPr="00BA5143">
        <w:rPr>
          <w:b/>
          <w:lang w:val="en-US"/>
        </w:rPr>
        <w:t xml:space="preserve">Table 30.1. Balances with related parties as at 31.12.2018 </w:t>
      </w:r>
    </w:p>
    <w:p w:rsidR="001E4F84" w:rsidRPr="00BA5143" w:rsidRDefault="001E4F84" w:rsidP="001E4F84">
      <w:pPr>
        <w:spacing w:line="240" w:lineRule="exact"/>
        <w:ind w:firstLine="567"/>
        <w:jc w:val="right"/>
        <w:rPr>
          <w:lang w:val="en-US"/>
        </w:rPr>
      </w:pPr>
      <w:r w:rsidRPr="00BA5143">
        <w:rPr>
          <w:lang w:val="en-US"/>
        </w:rPr>
        <w:t>(ths. UAH.)</w:t>
      </w:r>
    </w:p>
    <w:tbl>
      <w:tblPr>
        <w:tblStyle w:val="af4"/>
        <w:tblW w:w="0" w:type="auto"/>
        <w:tblLook w:val="04A0"/>
      </w:tblPr>
      <w:tblGrid>
        <w:gridCol w:w="906"/>
        <w:gridCol w:w="3123"/>
        <w:gridCol w:w="2020"/>
        <w:gridCol w:w="1893"/>
        <w:gridCol w:w="1327"/>
      </w:tblGrid>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Line</w:t>
            </w:r>
          </w:p>
        </w:tc>
        <w:tc>
          <w:tcPr>
            <w:tcW w:w="3123" w:type="dxa"/>
            <w:tcBorders>
              <w:top w:val="single" w:sz="4" w:space="0" w:color="auto"/>
              <w:left w:val="single" w:sz="4" w:space="0" w:color="auto"/>
              <w:bottom w:val="single" w:sz="4" w:space="0" w:color="auto"/>
              <w:right w:val="single" w:sz="4" w:space="0" w:color="auto"/>
            </w:tcBorders>
            <w:vAlign w:val="bottom"/>
            <w:hideMark/>
          </w:tcPr>
          <w:p w:rsidR="001E4F84" w:rsidRPr="00BA5143" w:rsidRDefault="001E4F84">
            <w:pPr>
              <w:jc w:val="center"/>
              <w:rPr>
                <w:sz w:val="20"/>
                <w:szCs w:val="20"/>
                <w:lang w:val="en-US"/>
              </w:rPr>
            </w:pPr>
            <w:r w:rsidRPr="00BA5143">
              <w:rPr>
                <w:sz w:val="20"/>
                <w:szCs w:val="20"/>
                <w:lang w:val="en-US"/>
              </w:rPr>
              <w:t>Item</w:t>
            </w:r>
          </w:p>
        </w:tc>
        <w:tc>
          <w:tcPr>
            <w:tcW w:w="2020"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 xml:space="preserve">Major </w:t>
            </w:r>
            <w:r w:rsidR="00C13E4C" w:rsidRPr="00BA5143">
              <w:rPr>
                <w:sz w:val="20"/>
                <w:szCs w:val="20"/>
                <w:lang w:val="en-US"/>
              </w:rPr>
              <w:t>shareholders of</w:t>
            </w:r>
            <w:r w:rsidRPr="00BA5143">
              <w:rPr>
                <w:sz w:val="20"/>
                <w:szCs w:val="20"/>
                <w:lang w:val="en-US"/>
              </w:rPr>
              <w:t xml:space="preserve"> the Bank</w:t>
            </w:r>
          </w:p>
        </w:tc>
        <w:tc>
          <w:tcPr>
            <w:tcW w:w="1893"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Leading management</w:t>
            </w:r>
          </w:p>
        </w:tc>
        <w:tc>
          <w:tcPr>
            <w:tcW w:w="13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Other related parties</w:t>
            </w:r>
          </w:p>
        </w:tc>
      </w:tr>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w:t>
            </w:r>
          </w:p>
        </w:tc>
        <w:tc>
          <w:tcPr>
            <w:tcW w:w="3123" w:type="dxa"/>
            <w:tcBorders>
              <w:top w:val="single" w:sz="4" w:space="0" w:color="auto"/>
              <w:left w:val="single" w:sz="4" w:space="0" w:color="auto"/>
              <w:bottom w:val="single" w:sz="4" w:space="0" w:color="auto"/>
              <w:right w:val="single" w:sz="4" w:space="0" w:color="auto"/>
            </w:tcBorders>
            <w:hideMark/>
          </w:tcPr>
          <w:p w:rsidR="001E4F84" w:rsidRPr="00BA5143" w:rsidRDefault="00C13E4C">
            <w:pPr>
              <w:rPr>
                <w:sz w:val="20"/>
                <w:szCs w:val="20"/>
                <w:lang w:val="en-US"/>
              </w:rPr>
            </w:pPr>
            <w:r w:rsidRPr="00BA5143">
              <w:rPr>
                <w:sz w:val="20"/>
                <w:szCs w:val="20"/>
                <w:lang w:val="en-US"/>
              </w:rPr>
              <w:t>Clients’</w:t>
            </w:r>
            <w:r w:rsidR="001E4F84" w:rsidRPr="00BA5143">
              <w:rPr>
                <w:sz w:val="20"/>
                <w:szCs w:val="20"/>
                <w:lang w:val="en-US"/>
              </w:rPr>
              <w:t xml:space="preserve"> money</w:t>
            </w:r>
          </w:p>
        </w:tc>
        <w:tc>
          <w:tcPr>
            <w:tcW w:w="2020" w:type="dxa"/>
            <w:tcBorders>
              <w:top w:val="single" w:sz="4" w:space="0" w:color="auto"/>
              <w:left w:val="single" w:sz="4" w:space="0" w:color="auto"/>
              <w:bottom w:val="single" w:sz="4" w:space="0" w:color="auto"/>
              <w:right w:val="single" w:sz="4" w:space="0" w:color="auto"/>
            </w:tcBorders>
          </w:tcPr>
          <w:p w:rsidR="001E4F84" w:rsidRPr="00BA5143" w:rsidRDefault="001E4F84">
            <w:pPr>
              <w:spacing w:line="240" w:lineRule="exact"/>
              <w:jc w:val="right"/>
              <w:rPr>
                <w:sz w:val="20"/>
                <w:szCs w:val="20"/>
                <w:lang w:val="en-US"/>
              </w:rPr>
            </w:pPr>
          </w:p>
        </w:tc>
        <w:tc>
          <w:tcPr>
            <w:tcW w:w="1893" w:type="dxa"/>
            <w:tcBorders>
              <w:top w:val="single" w:sz="4" w:space="0" w:color="auto"/>
              <w:left w:val="single" w:sz="4" w:space="0" w:color="auto"/>
              <w:bottom w:val="single" w:sz="4" w:space="0" w:color="auto"/>
              <w:right w:val="single" w:sz="4" w:space="0" w:color="auto"/>
            </w:tcBorders>
          </w:tcPr>
          <w:p w:rsidR="001E4F84" w:rsidRPr="00BA5143" w:rsidRDefault="001E4F84">
            <w:pPr>
              <w:spacing w:line="240" w:lineRule="exact"/>
              <w:jc w:val="right"/>
              <w:rPr>
                <w:sz w:val="20"/>
                <w:szCs w:val="20"/>
                <w:lang w:val="en-US"/>
              </w:rPr>
            </w:pPr>
          </w:p>
        </w:tc>
        <w:tc>
          <w:tcPr>
            <w:tcW w:w="1327" w:type="dxa"/>
            <w:tcBorders>
              <w:top w:val="single" w:sz="4" w:space="0" w:color="auto"/>
              <w:left w:val="single" w:sz="4" w:space="0" w:color="auto"/>
              <w:bottom w:val="single" w:sz="4" w:space="0" w:color="auto"/>
              <w:right w:val="single" w:sz="4" w:space="0" w:color="auto"/>
            </w:tcBorders>
          </w:tcPr>
          <w:p w:rsidR="001E4F84" w:rsidRPr="00BA5143" w:rsidRDefault="001E4F84">
            <w:pPr>
              <w:spacing w:line="240" w:lineRule="exact"/>
              <w:jc w:val="right"/>
              <w:rPr>
                <w:sz w:val="20"/>
                <w:szCs w:val="20"/>
                <w:lang w:val="en-US"/>
              </w:rPr>
            </w:pPr>
          </w:p>
        </w:tc>
      </w:tr>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1.1</w:t>
            </w:r>
          </w:p>
        </w:tc>
        <w:tc>
          <w:tcPr>
            <w:tcW w:w="3123"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Customer funds (contractual interest rate 0.0%)</w:t>
            </w:r>
          </w:p>
        </w:tc>
        <w:tc>
          <w:tcPr>
            <w:tcW w:w="2020"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189</w:t>
            </w:r>
          </w:p>
        </w:tc>
        <w:tc>
          <w:tcPr>
            <w:tcW w:w="1893"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3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1.2</w:t>
            </w:r>
          </w:p>
        </w:tc>
        <w:tc>
          <w:tcPr>
            <w:tcW w:w="3123"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Customer funds (contractual interest rate 9.5%)</w:t>
            </w:r>
          </w:p>
        </w:tc>
        <w:tc>
          <w:tcPr>
            <w:tcW w:w="2020"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893"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10</w:t>
            </w:r>
          </w:p>
        </w:tc>
        <w:tc>
          <w:tcPr>
            <w:tcW w:w="13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1.3</w:t>
            </w:r>
          </w:p>
        </w:tc>
        <w:tc>
          <w:tcPr>
            <w:tcW w:w="3123"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Customer funds (contractual interest rate 8.0%)</w:t>
            </w:r>
          </w:p>
        </w:tc>
        <w:tc>
          <w:tcPr>
            <w:tcW w:w="2020"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893"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10</w:t>
            </w:r>
          </w:p>
        </w:tc>
        <w:tc>
          <w:tcPr>
            <w:tcW w:w="13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r w:rsidR="001E4F84" w:rsidRPr="00BA5143" w:rsidTr="001E4F84">
        <w:tc>
          <w:tcPr>
            <w:tcW w:w="906"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2</w:t>
            </w:r>
          </w:p>
        </w:tc>
        <w:tc>
          <w:tcPr>
            <w:tcW w:w="3123"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Subordinated debt (contractual interest rate 0.0%)</w:t>
            </w:r>
          </w:p>
        </w:tc>
        <w:tc>
          <w:tcPr>
            <w:tcW w:w="2020"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11 900</w:t>
            </w:r>
          </w:p>
        </w:tc>
        <w:tc>
          <w:tcPr>
            <w:tcW w:w="1893"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3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bl>
    <w:p w:rsidR="001E4F84" w:rsidRPr="00BA5143" w:rsidRDefault="001E4F84" w:rsidP="001E4F84">
      <w:pPr>
        <w:spacing w:line="240" w:lineRule="exact"/>
        <w:ind w:firstLine="567"/>
        <w:jc w:val="both"/>
        <w:rPr>
          <w:highlight w:val="yellow"/>
          <w:lang w:val="en-US"/>
        </w:rPr>
      </w:pPr>
    </w:p>
    <w:p w:rsidR="00AD49B2" w:rsidRDefault="00AD49B2" w:rsidP="001E4F84">
      <w:pPr>
        <w:spacing w:line="240" w:lineRule="exact"/>
        <w:rPr>
          <w:highlight w:val="yellow"/>
          <w:lang w:val="en-US"/>
        </w:rPr>
      </w:pPr>
    </w:p>
    <w:p w:rsidR="001E4F84" w:rsidRPr="00BA5143" w:rsidRDefault="001E4F84" w:rsidP="001E4F84">
      <w:pPr>
        <w:spacing w:line="240" w:lineRule="exact"/>
        <w:rPr>
          <w:b/>
          <w:lang w:val="en-US"/>
        </w:rPr>
      </w:pPr>
      <w:proofErr w:type="gramStart"/>
      <w:r w:rsidRPr="00BA5143">
        <w:rPr>
          <w:b/>
          <w:lang w:val="en-US"/>
        </w:rPr>
        <w:t>Table 30.2.</w:t>
      </w:r>
      <w:proofErr w:type="gramEnd"/>
      <w:r w:rsidRPr="00BA5143">
        <w:rPr>
          <w:b/>
          <w:lang w:val="en-US"/>
        </w:rPr>
        <w:t xml:space="preserve"> Balances with related parties as of December 31, 2017 </w:t>
      </w:r>
    </w:p>
    <w:p w:rsidR="001E4F84" w:rsidRPr="00BA5143" w:rsidRDefault="001E4F84" w:rsidP="001E4F84">
      <w:pPr>
        <w:spacing w:line="240" w:lineRule="exact"/>
        <w:ind w:firstLine="567"/>
        <w:jc w:val="right"/>
        <w:rPr>
          <w:lang w:val="en-US"/>
        </w:rPr>
      </w:pPr>
      <w:r w:rsidRPr="00BA5143">
        <w:rPr>
          <w:lang w:val="en-US"/>
        </w:rPr>
        <w:t>(ths. UAH.)</w:t>
      </w:r>
    </w:p>
    <w:tbl>
      <w:tblPr>
        <w:tblStyle w:val="af4"/>
        <w:tblW w:w="0" w:type="auto"/>
        <w:tblLook w:val="04A0"/>
      </w:tblPr>
      <w:tblGrid>
        <w:gridCol w:w="1087"/>
        <w:gridCol w:w="5087"/>
        <w:gridCol w:w="3095"/>
      </w:tblGrid>
      <w:tr w:rsidR="001E4F84" w:rsidRPr="006C58AD" w:rsidTr="001E4F84">
        <w:tc>
          <w:tcPr>
            <w:tcW w:w="108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Line</w:t>
            </w:r>
          </w:p>
        </w:tc>
        <w:tc>
          <w:tcPr>
            <w:tcW w:w="5087" w:type="dxa"/>
            <w:tcBorders>
              <w:top w:val="single" w:sz="4" w:space="0" w:color="auto"/>
              <w:left w:val="single" w:sz="4" w:space="0" w:color="auto"/>
              <w:bottom w:val="single" w:sz="4" w:space="0" w:color="auto"/>
              <w:right w:val="single" w:sz="4" w:space="0" w:color="auto"/>
            </w:tcBorders>
            <w:vAlign w:val="bottom"/>
            <w:hideMark/>
          </w:tcPr>
          <w:p w:rsidR="001E4F84" w:rsidRPr="00BA5143" w:rsidRDefault="009D05B9">
            <w:pPr>
              <w:jc w:val="center"/>
              <w:rPr>
                <w:sz w:val="20"/>
                <w:szCs w:val="20"/>
                <w:lang w:val="en-US"/>
              </w:rPr>
            </w:pPr>
            <w:r w:rsidRPr="00BA5143">
              <w:rPr>
                <w:sz w:val="20"/>
                <w:szCs w:val="20"/>
                <w:lang w:val="en-US"/>
              </w:rPr>
              <w:t>Item</w:t>
            </w:r>
          </w:p>
        </w:tc>
        <w:tc>
          <w:tcPr>
            <w:tcW w:w="309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 xml:space="preserve">Major </w:t>
            </w:r>
            <w:r w:rsidR="00C13E4C" w:rsidRPr="00BA5143">
              <w:rPr>
                <w:sz w:val="20"/>
                <w:szCs w:val="20"/>
                <w:lang w:val="en-US"/>
              </w:rPr>
              <w:t>shareholders of</w:t>
            </w:r>
            <w:r w:rsidRPr="00BA5143">
              <w:rPr>
                <w:sz w:val="20"/>
                <w:szCs w:val="20"/>
                <w:lang w:val="en-US"/>
              </w:rPr>
              <w:t xml:space="preserve"> the Bank</w:t>
            </w:r>
          </w:p>
        </w:tc>
      </w:tr>
      <w:tr w:rsidR="001E4F84" w:rsidRPr="00BA5143" w:rsidTr="001E4F84">
        <w:trPr>
          <w:trHeight w:val="117"/>
        </w:trPr>
        <w:tc>
          <w:tcPr>
            <w:tcW w:w="108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w:t>
            </w:r>
          </w:p>
        </w:tc>
        <w:tc>
          <w:tcPr>
            <w:tcW w:w="508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both"/>
              <w:rPr>
                <w:sz w:val="20"/>
                <w:szCs w:val="20"/>
                <w:lang w:val="en-US"/>
              </w:rPr>
            </w:pPr>
            <w:r w:rsidRPr="00BA5143">
              <w:rPr>
                <w:sz w:val="20"/>
                <w:szCs w:val="20"/>
                <w:lang w:val="en-US"/>
              </w:rPr>
              <w:t>Customer funds (contractual interest rate 0.0%)</w:t>
            </w:r>
          </w:p>
        </w:tc>
        <w:tc>
          <w:tcPr>
            <w:tcW w:w="309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2 538</w:t>
            </w:r>
          </w:p>
        </w:tc>
      </w:tr>
    </w:tbl>
    <w:p w:rsidR="00AD49B2" w:rsidRPr="00BA5143" w:rsidRDefault="00AD49B2" w:rsidP="00AD49B2">
      <w:pPr>
        <w:spacing w:line="240" w:lineRule="exact"/>
        <w:jc w:val="both"/>
        <w:rPr>
          <w:b/>
          <w:highlight w:val="yellow"/>
          <w:lang w:val="en-US"/>
        </w:rPr>
      </w:pPr>
    </w:p>
    <w:p w:rsidR="00D33BE9" w:rsidRPr="00BA5143" w:rsidRDefault="00D33BE9" w:rsidP="00AD49B2">
      <w:pPr>
        <w:spacing w:line="240" w:lineRule="exact"/>
        <w:jc w:val="right"/>
        <w:rPr>
          <w:b/>
          <w:lang w:val="en-US"/>
        </w:rPr>
      </w:pPr>
    </w:p>
    <w:p w:rsidR="00D33BE9" w:rsidRPr="00BA5143" w:rsidRDefault="00D33BE9" w:rsidP="00AD49B2">
      <w:pPr>
        <w:spacing w:line="240" w:lineRule="exact"/>
        <w:jc w:val="right"/>
        <w:rPr>
          <w:b/>
          <w:lang w:val="en-US"/>
        </w:rPr>
      </w:pPr>
    </w:p>
    <w:p w:rsidR="001E4F84" w:rsidRPr="00BA5143" w:rsidRDefault="001E4F84" w:rsidP="00AD49B2">
      <w:pPr>
        <w:spacing w:line="240" w:lineRule="exact"/>
        <w:jc w:val="right"/>
        <w:rPr>
          <w:b/>
          <w:lang w:val="en-US"/>
        </w:rPr>
      </w:pPr>
      <w:r w:rsidRPr="00BA5143">
        <w:rPr>
          <w:b/>
          <w:lang w:val="en-US"/>
        </w:rPr>
        <w:t xml:space="preserve">Table 30.3. Income and expenses from transactions with related parties as of December 31, 2018 </w:t>
      </w:r>
    </w:p>
    <w:p w:rsidR="001E4F84" w:rsidRPr="00BA5143" w:rsidRDefault="001E4F84" w:rsidP="001E4F84">
      <w:pPr>
        <w:spacing w:line="240" w:lineRule="exact"/>
        <w:ind w:firstLine="567"/>
        <w:jc w:val="right"/>
        <w:rPr>
          <w:lang w:val="en-US"/>
        </w:rPr>
      </w:pPr>
      <w:r w:rsidRPr="00BA5143">
        <w:rPr>
          <w:lang w:val="en-US"/>
        </w:rPr>
        <w:t>(ths. UAH.)</w:t>
      </w:r>
    </w:p>
    <w:tbl>
      <w:tblPr>
        <w:tblStyle w:val="af4"/>
        <w:tblW w:w="0" w:type="auto"/>
        <w:tblLook w:val="04A0"/>
      </w:tblPr>
      <w:tblGrid>
        <w:gridCol w:w="921"/>
        <w:gridCol w:w="2948"/>
        <w:gridCol w:w="2068"/>
        <w:gridCol w:w="1927"/>
        <w:gridCol w:w="1405"/>
      </w:tblGrid>
      <w:tr w:rsidR="001E4F84" w:rsidRPr="00BA5143" w:rsidTr="001E4F84">
        <w:tc>
          <w:tcPr>
            <w:tcW w:w="921"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Line</w:t>
            </w:r>
          </w:p>
        </w:tc>
        <w:tc>
          <w:tcPr>
            <w:tcW w:w="2948" w:type="dxa"/>
            <w:tcBorders>
              <w:top w:val="single" w:sz="4" w:space="0" w:color="auto"/>
              <w:left w:val="single" w:sz="4" w:space="0" w:color="auto"/>
              <w:bottom w:val="single" w:sz="4" w:space="0" w:color="auto"/>
              <w:right w:val="single" w:sz="4" w:space="0" w:color="auto"/>
            </w:tcBorders>
            <w:vAlign w:val="bottom"/>
            <w:hideMark/>
          </w:tcPr>
          <w:p w:rsidR="001E4F84" w:rsidRPr="00BA5143" w:rsidRDefault="009D05B9">
            <w:pPr>
              <w:jc w:val="center"/>
              <w:rPr>
                <w:sz w:val="20"/>
                <w:szCs w:val="20"/>
                <w:lang w:val="en-US"/>
              </w:rPr>
            </w:pPr>
            <w:r w:rsidRPr="00BA5143">
              <w:rPr>
                <w:sz w:val="20"/>
                <w:szCs w:val="20"/>
                <w:lang w:val="en-US"/>
              </w:rPr>
              <w:t>Item</w:t>
            </w:r>
          </w:p>
        </w:tc>
        <w:tc>
          <w:tcPr>
            <w:tcW w:w="2068"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 xml:space="preserve">Major </w:t>
            </w:r>
            <w:r w:rsidR="00C13E4C" w:rsidRPr="00BA5143">
              <w:rPr>
                <w:sz w:val="20"/>
                <w:szCs w:val="20"/>
                <w:lang w:val="en-US"/>
              </w:rPr>
              <w:t>shareholders of</w:t>
            </w:r>
            <w:r w:rsidRPr="00BA5143">
              <w:rPr>
                <w:sz w:val="20"/>
                <w:szCs w:val="20"/>
                <w:lang w:val="en-US"/>
              </w:rPr>
              <w:t xml:space="preserve"> the Bank</w:t>
            </w:r>
          </w:p>
        </w:tc>
        <w:tc>
          <w:tcPr>
            <w:tcW w:w="19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Leading management</w:t>
            </w:r>
          </w:p>
        </w:tc>
        <w:tc>
          <w:tcPr>
            <w:tcW w:w="140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Other related parties</w:t>
            </w:r>
          </w:p>
        </w:tc>
      </w:tr>
      <w:tr w:rsidR="001E4F84" w:rsidRPr="00BA5143" w:rsidTr="001E4F84">
        <w:tc>
          <w:tcPr>
            <w:tcW w:w="921"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1</w:t>
            </w:r>
          </w:p>
        </w:tc>
        <w:tc>
          <w:tcPr>
            <w:tcW w:w="2948"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Interest expense</w:t>
            </w:r>
          </w:p>
        </w:tc>
        <w:tc>
          <w:tcPr>
            <w:tcW w:w="2068"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739</w:t>
            </w:r>
          </w:p>
        </w:tc>
        <w:tc>
          <w:tcPr>
            <w:tcW w:w="19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1</w:t>
            </w:r>
          </w:p>
        </w:tc>
        <w:tc>
          <w:tcPr>
            <w:tcW w:w="140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r w:rsidR="001E4F84" w:rsidRPr="00BA5143" w:rsidTr="001E4F84">
        <w:tc>
          <w:tcPr>
            <w:tcW w:w="921"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2</w:t>
            </w:r>
          </w:p>
        </w:tc>
        <w:tc>
          <w:tcPr>
            <w:tcW w:w="2948"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Commission costs</w:t>
            </w:r>
          </w:p>
        </w:tc>
        <w:tc>
          <w:tcPr>
            <w:tcW w:w="2068"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9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40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25</w:t>
            </w:r>
          </w:p>
        </w:tc>
      </w:tr>
      <w:tr w:rsidR="001E4F84" w:rsidRPr="00BA5143" w:rsidTr="001E4F84">
        <w:tc>
          <w:tcPr>
            <w:tcW w:w="921"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2</w:t>
            </w:r>
          </w:p>
        </w:tc>
        <w:tc>
          <w:tcPr>
            <w:tcW w:w="2948"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Commission income</w:t>
            </w:r>
          </w:p>
        </w:tc>
        <w:tc>
          <w:tcPr>
            <w:tcW w:w="2068"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48</w:t>
            </w:r>
          </w:p>
        </w:tc>
        <w:tc>
          <w:tcPr>
            <w:tcW w:w="19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405" w:type="dxa"/>
            <w:tcBorders>
              <w:top w:val="single" w:sz="4" w:space="0" w:color="auto"/>
              <w:left w:val="single" w:sz="4" w:space="0" w:color="auto"/>
              <w:bottom w:val="single" w:sz="4" w:space="0" w:color="auto"/>
              <w:right w:val="single" w:sz="4" w:space="0" w:color="auto"/>
            </w:tcBorders>
          </w:tcPr>
          <w:p w:rsidR="001E4F84" w:rsidRPr="00BA5143" w:rsidRDefault="001E4F84">
            <w:pPr>
              <w:spacing w:line="240" w:lineRule="exact"/>
              <w:jc w:val="right"/>
              <w:rPr>
                <w:sz w:val="20"/>
                <w:szCs w:val="20"/>
                <w:lang w:val="en-US"/>
              </w:rPr>
            </w:pPr>
          </w:p>
        </w:tc>
      </w:tr>
      <w:tr w:rsidR="001E4F84" w:rsidRPr="00BA5143" w:rsidTr="001E4F84">
        <w:tc>
          <w:tcPr>
            <w:tcW w:w="921"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center"/>
              <w:rPr>
                <w:sz w:val="20"/>
                <w:szCs w:val="20"/>
                <w:lang w:val="en-US"/>
              </w:rPr>
            </w:pPr>
            <w:r w:rsidRPr="00BA5143">
              <w:rPr>
                <w:sz w:val="20"/>
                <w:szCs w:val="20"/>
                <w:lang w:val="en-US"/>
              </w:rPr>
              <w:t>3</w:t>
            </w:r>
          </w:p>
        </w:tc>
        <w:tc>
          <w:tcPr>
            <w:tcW w:w="2948" w:type="dxa"/>
            <w:tcBorders>
              <w:top w:val="single" w:sz="4" w:space="0" w:color="auto"/>
              <w:left w:val="single" w:sz="4" w:space="0" w:color="auto"/>
              <w:bottom w:val="single" w:sz="4" w:space="0" w:color="auto"/>
              <w:right w:val="single" w:sz="4" w:space="0" w:color="auto"/>
            </w:tcBorders>
            <w:hideMark/>
          </w:tcPr>
          <w:p w:rsidR="001E4F84" w:rsidRPr="00BA5143" w:rsidRDefault="001E4F84">
            <w:pPr>
              <w:rPr>
                <w:sz w:val="20"/>
                <w:szCs w:val="20"/>
                <w:lang w:val="en-US"/>
              </w:rPr>
            </w:pPr>
            <w:r w:rsidRPr="00BA5143">
              <w:rPr>
                <w:sz w:val="20"/>
                <w:szCs w:val="20"/>
                <w:lang w:val="en-US"/>
              </w:rPr>
              <w:t>Result of adjustment of the value of financial instruments during initial recognition *</w:t>
            </w:r>
          </w:p>
        </w:tc>
        <w:tc>
          <w:tcPr>
            <w:tcW w:w="2068"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5 352</w:t>
            </w:r>
          </w:p>
        </w:tc>
        <w:tc>
          <w:tcPr>
            <w:tcW w:w="1927"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c>
          <w:tcPr>
            <w:tcW w:w="1405" w:type="dxa"/>
            <w:tcBorders>
              <w:top w:val="single" w:sz="4" w:space="0" w:color="auto"/>
              <w:left w:val="single" w:sz="4" w:space="0" w:color="auto"/>
              <w:bottom w:val="single" w:sz="4" w:space="0" w:color="auto"/>
              <w:right w:val="single" w:sz="4" w:space="0" w:color="auto"/>
            </w:tcBorders>
            <w:hideMark/>
          </w:tcPr>
          <w:p w:rsidR="001E4F84" w:rsidRPr="00BA5143" w:rsidRDefault="001E4F84">
            <w:pPr>
              <w:spacing w:line="240" w:lineRule="exact"/>
              <w:jc w:val="right"/>
              <w:rPr>
                <w:sz w:val="20"/>
                <w:szCs w:val="20"/>
                <w:lang w:val="en-US"/>
              </w:rPr>
            </w:pPr>
            <w:r w:rsidRPr="00BA5143">
              <w:rPr>
                <w:sz w:val="20"/>
                <w:szCs w:val="20"/>
                <w:lang w:val="en-US"/>
              </w:rPr>
              <w:t>-</w:t>
            </w:r>
          </w:p>
        </w:tc>
      </w:tr>
    </w:tbl>
    <w:p w:rsidR="008B0277" w:rsidRPr="00BA5143" w:rsidRDefault="001E4F84" w:rsidP="00D33BE9">
      <w:pPr>
        <w:spacing w:line="240" w:lineRule="exact"/>
        <w:jc w:val="both"/>
        <w:rPr>
          <w:bCs/>
          <w:lang w:val="en-US"/>
        </w:rPr>
      </w:pPr>
      <w:r w:rsidRPr="00BA5143">
        <w:rPr>
          <w:bCs/>
          <w:lang w:val="en-US"/>
        </w:rPr>
        <w:t>* The financial statements are reflected in other comprehensive income</w:t>
      </w:r>
    </w:p>
    <w:p w:rsidR="006B44D8" w:rsidRDefault="006B44D8" w:rsidP="009D05B9">
      <w:pPr>
        <w:spacing w:line="240" w:lineRule="exact"/>
        <w:ind w:firstLine="567"/>
        <w:rPr>
          <w:b/>
          <w:lang w:val="en-US"/>
        </w:rPr>
      </w:pPr>
    </w:p>
    <w:p w:rsidR="009D05B9" w:rsidRPr="00BA5143" w:rsidRDefault="001E4F84" w:rsidP="006B44D8">
      <w:pPr>
        <w:spacing w:line="240" w:lineRule="exact"/>
        <w:rPr>
          <w:b/>
          <w:lang w:val="en-US"/>
        </w:rPr>
      </w:pPr>
      <w:proofErr w:type="gramStart"/>
      <w:r w:rsidRPr="00BA5143">
        <w:rPr>
          <w:b/>
          <w:lang w:val="en-US"/>
        </w:rPr>
        <w:t>Table 30.4.</w:t>
      </w:r>
      <w:proofErr w:type="gramEnd"/>
      <w:r w:rsidRPr="00BA5143">
        <w:rPr>
          <w:b/>
          <w:lang w:val="en-US"/>
        </w:rPr>
        <w:t xml:space="preserve"> Income and expenses from transactions with related parties as at </w:t>
      </w:r>
      <w:r w:rsidR="009D05B9" w:rsidRPr="00BA5143">
        <w:rPr>
          <w:b/>
          <w:lang w:val="en-US"/>
        </w:rPr>
        <w:t>December 31,</w:t>
      </w:r>
      <w:r w:rsidRPr="00BA5143">
        <w:rPr>
          <w:b/>
          <w:lang w:val="en-US"/>
        </w:rPr>
        <w:t>2017</w:t>
      </w:r>
    </w:p>
    <w:p w:rsidR="009D05B9" w:rsidRPr="00BA5143" w:rsidRDefault="001E4F84" w:rsidP="009D05B9">
      <w:pPr>
        <w:spacing w:line="240" w:lineRule="exact"/>
        <w:ind w:firstLine="567"/>
        <w:jc w:val="right"/>
        <w:rPr>
          <w:lang w:val="en-US"/>
        </w:rPr>
      </w:pPr>
      <w:r w:rsidRPr="00BA5143">
        <w:rPr>
          <w:b/>
          <w:lang w:val="en-US"/>
        </w:rPr>
        <w:t xml:space="preserve"> </w:t>
      </w:r>
      <w:r w:rsidR="009D05B9" w:rsidRPr="00BA5143">
        <w:rPr>
          <w:lang w:val="en-US"/>
        </w:rPr>
        <w:t>(ths. UAH.)</w:t>
      </w:r>
    </w:p>
    <w:tbl>
      <w:tblPr>
        <w:tblStyle w:val="af4"/>
        <w:tblW w:w="9461" w:type="dxa"/>
        <w:tblLook w:val="04A0"/>
      </w:tblPr>
      <w:tblGrid>
        <w:gridCol w:w="934"/>
        <w:gridCol w:w="6404"/>
        <w:gridCol w:w="2123"/>
      </w:tblGrid>
      <w:tr w:rsidR="009D05B9" w:rsidRPr="006C58AD" w:rsidTr="009D05B9">
        <w:tc>
          <w:tcPr>
            <w:tcW w:w="934" w:type="dxa"/>
            <w:tcBorders>
              <w:top w:val="single" w:sz="4" w:space="0" w:color="auto"/>
              <w:left w:val="single" w:sz="4" w:space="0" w:color="auto"/>
              <w:bottom w:val="single" w:sz="4" w:space="0" w:color="auto"/>
              <w:right w:val="single" w:sz="4" w:space="0" w:color="auto"/>
            </w:tcBorders>
            <w:hideMark/>
          </w:tcPr>
          <w:p w:rsidR="009D05B9" w:rsidRPr="00BA5143" w:rsidRDefault="009D05B9">
            <w:pPr>
              <w:spacing w:line="240" w:lineRule="exact"/>
              <w:jc w:val="center"/>
              <w:rPr>
                <w:sz w:val="20"/>
                <w:szCs w:val="20"/>
                <w:lang w:val="en-US"/>
              </w:rPr>
            </w:pPr>
            <w:r w:rsidRPr="00BA5143">
              <w:rPr>
                <w:sz w:val="20"/>
                <w:szCs w:val="20"/>
                <w:lang w:val="en-US"/>
              </w:rPr>
              <w:t>Line</w:t>
            </w:r>
          </w:p>
        </w:tc>
        <w:tc>
          <w:tcPr>
            <w:tcW w:w="6404" w:type="dxa"/>
            <w:tcBorders>
              <w:top w:val="single" w:sz="4" w:space="0" w:color="auto"/>
              <w:left w:val="single" w:sz="4" w:space="0" w:color="auto"/>
              <w:bottom w:val="single" w:sz="4" w:space="0" w:color="auto"/>
              <w:right w:val="single" w:sz="4" w:space="0" w:color="auto"/>
            </w:tcBorders>
            <w:vAlign w:val="bottom"/>
            <w:hideMark/>
          </w:tcPr>
          <w:p w:rsidR="009D05B9" w:rsidRPr="00BA5143" w:rsidRDefault="009D05B9">
            <w:pPr>
              <w:jc w:val="center"/>
              <w:rPr>
                <w:sz w:val="20"/>
                <w:szCs w:val="20"/>
                <w:lang w:val="en-US"/>
              </w:rPr>
            </w:pPr>
            <w:r w:rsidRPr="00BA5143">
              <w:rPr>
                <w:sz w:val="20"/>
                <w:szCs w:val="20"/>
                <w:lang w:val="en-US"/>
              </w:rPr>
              <w:t>Item</w:t>
            </w:r>
          </w:p>
        </w:tc>
        <w:tc>
          <w:tcPr>
            <w:tcW w:w="2123" w:type="dxa"/>
            <w:tcBorders>
              <w:top w:val="single" w:sz="4" w:space="0" w:color="auto"/>
              <w:left w:val="single" w:sz="4" w:space="0" w:color="auto"/>
              <w:bottom w:val="single" w:sz="4" w:space="0" w:color="auto"/>
              <w:right w:val="single" w:sz="4" w:space="0" w:color="auto"/>
            </w:tcBorders>
            <w:hideMark/>
          </w:tcPr>
          <w:p w:rsidR="009D05B9" w:rsidRPr="00BA5143" w:rsidRDefault="009D05B9">
            <w:pPr>
              <w:spacing w:line="240" w:lineRule="exact"/>
              <w:jc w:val="center"/>
              <w:rPr>
                <w:sz w:val="20"/>
                <w:szCs w:val="20"/>
                <w:lang w:val="en-US"/>
              </w:rPr>
            </w:pPr>
            <w:r w:rsidRPr="00BA5143">
              <w:rPr>
                <w:sz w:val="20"/>
                <w:szCs w:val="20"/>
                <w:lang w:val="en-US"/>
              </w:rPr>
              <w:t xml:space="preserve">Major </w:t>
            </w:r>
            <w:r w:rsidR="00C13E4C" w:rsidRPr="00BA5143">
              <w:rPr>
                <w:sz w:val="20"/>
                <w:szCs w:val="20"/>
                <w:lang w:val="en-US"/>
              </w:rPr>
              <w:t>shareholders of</w:t>
            </w:r>
            <w:r w:rsidRPr="00BA5143">
              <w:rPr>
                <w:sz w:val="20"/>
                <w:szCs w:val="20"/>
                <w:lang w:val="en-US"/>
              </w:rPr>
              <w:t xml:space="preserve"> the Bank</w:t>
            </w:r>
          </w:p>
        </w:tc>
      </w:tr>
      <w:tr w:rsidR="009D05B9" w:rsidRPr="00BA5143" w:rsidTr="009D05B9">
        <w:tc>
          <w:tcPr>
            <w:tcW w:w="934" w:type="dxa"/>
            <w:tcBorders>
              <w:top w:val="single" w:sz="4" w:space="0" w:color="auto"/>
              <w:left w:val="single" w:sz="4" w:space="0" w:color="auto"/>
              <w:bottom w:val="single" w:sz="4" w:space="0" w:color="auto"/>
              <w:right w:val="single" w:sz="4" w:space="0" w:color="auto"/>
            </w:tcBorders>
            <w:hideMark/>
          </w:tcPr>
          <w:p w:rsidR="009D05B9" w:rsidRPr="00BA5143" w:rsidRDefault="009D05B9">
            <w:pPr>
              <w:spacing w:line="240" w:lineRule="exact"/>
              <w:jc w:val="center"/>
              <w:rPr>
                <w:sz w:val="20"/>
                <w:szCs w:val="20"/>
                <w:lang w:val="en-US"/>
              </w:rPr>
            </w:pPr>
            <w:r w:rsidRPr="00BA5143">
              <w:rPr>
                <w:sz w:val="20"/>
                <w:szCs w:val="20"/>
                <w:lang w:val="en-US"/>
              </w:rPr>
              <w:t>1</w:t>
            </w:r>
          </w:p>
        </w:tc>
        <w:tc>
          <w:tcPr>
            <w:tcW w:w="6404" w:type="dxa"/>
            <w:tcBorders>
              <w:top w:val="single" w:sz="4" w:space="0" w:color="auto"/>
              <w:left w:val="single" w:sz="4" w:space="0" w:color="auto"/>
              <w:bottom w:val="single" w:sz="4" w:space="0" w:color="auto"/>
              <w:right w:val="single" w:sz="4" w:space="0" w:color="auto"/>
            </w:tcBorders>
            <w:hideMark/>
          </w:tcPr>
          <w:p w:rsidR="009D05B9" w:rsidRPr="00BA5143" w:rsidRDefault="009D05B9">
            <w:pPr>
              <w:spacing w:line="240" w:lineRule="exact"/>
              <w:jc w:val="both"/>
              <w:rPr>
                <w:sz w:val="20"/>
                <w:szCs w:val="20"/>
                <w:lang w:val="en-US"/>
              </w:rPr>
            </w:pPr>
            <w:r w:rsidRPr="00BA5143">
              <w:rPr>
                <w:sz w:val="20"/>
                <w:szCs w:val="20"/>
                <w:lang w:val="en-US"/>
              </w:rPr>
              <w:t>Commission income</w:t>
            </w:r>
          </w:p>
        </w:tc>
        <w:tc>
          <w:tcPr>
            <w:tcW w:w="2123" w:type="dxa"/>
            <w:tcBorders>
              <w:top w:val="single" w:sz="4" w:space="0" w:color="auto"/>
              <w:left w:val="single" w:sz="4" w:space="0" w:color="auto"/>
              <w:bottom w:val="single" w:sz="4" w:space="0" w:color="auto"/>
              <w:right w:val="single" w:sz="4" w:space="0" w:color="auto"/>
            </w:tcBorders>
            <w:hideMark/>
          </w:tcPr>
          <w:p w:rsidR="009D05B9" w:rsidRPr="00BA5143" w:rsidRDefault="009D05B9">
            <w:pPr>
              <w:spacing w:line="240" w:lineRule="exact"/>
              <w:jc w:val="right"/>
              <w:rPr>
                <w:sz w:val="20"/>
                <w:szCs w:val="20"/>
                <w:lang w:val="en-US"/>
              </w:rPr>
            </w:pPr>
            <w:r w:rsidRPr="00BA5143">
              <w:rPr>
                <w:sz w:val="20"/>
                <w:szCs w:val="20"/>
                <w:lang w:val="en-US"/>
              </w:rPr>
              <w:t>126</w:t>
            </w:r>
          </w:p>
        </w:tc>
      </w:tr>
    </w:tbl>
    <w:p w:rsidR="00AD49B2" w:rsidRPr="00BA5143" w:rsidRDefault="00AD49B2" w:rsidP="009D05B9">
      <w:pPr>
        <w:spacing w:line="240" w:lineRule="exact"/>
        <w:jc w:val="right"/>
        <w:rPr>
          <w:highlight w:val="yellow"/>
          <w:lang w:val="en-US"/>
        </w:rPr>
      </w:pPr>
    </w:p>
    <w:p w:rsidR="009D05B9" w:rsidRPr="00BA5143" w:rsidRDefault="009D05B9" w:rsidP="009D05B9">
      <w:pPr>
        <w:spacing w:line="240" w:lineRule="exact"/>
        <w:rPr>
          <w:b/>
          <w:lang w:val="en-US"/>
        </w:rPr>
      </w:pPr>
      <w:r w:rsidRPr="00BA5143">
        <w:rPr>
          <w:b/>
          <w:lang w:val="en-US"/>
        </w:rPr>
        <w:t xml:space="preserve">Table 30.4. Payments to key management personnel </w:t>
      </w:r>
    </w:p>
    <w:p w:rsidR="009D05B9" w:rsidRPr="00BA5143" w:rsidRDefault="009D05B9" w:rsidP="009D05B9">
      <w:pPr>
        <w:spacing w:line="240" w:lineRule="exact"/>
        <w:ind w:firstLine="567"/>
        <w:jc w:val="right"/>
        <w:rPr>
          <w:lang w:val="en-US"/>
        </w:rPr>
      </w:pPr>
      <w:r w:rsidRPr="00BA5143">
        <w:rPr>
          <w:lang w:val="en-US"/>
        </w:rPr>
        <w:t>(ths. UAH.)</w:t>
      </w:r>
    </w:p>
    <w:tbl>
      <w:tblPr>
        <w:tblW w:w="9275" w:type="dxa"/>
        <w:tblInd w:w="93" w:type="dxa"/>
        <w:tblLook w:val="04A0"/>
      </w:tblPr>
      <w:tblGrid>
        <w:gridCol w:w="960"/>
        <w:gridCol w:w="3195"/>
        <w:gridCol w:w="987"/>
        <w:gridCol w:w="1633"/>
        <w:gridCol w:w="958"/>
        <w:gridCol w:w="1542"/>
      </w:tblGrid>
      <w:tr w:rsidR="009D05B9" w:rsidRPr="00BA5143" w:rsidTr="009D05B9">
        <w:trPr>
          <w:trHeight w:val="255"/>
        </w:trPr>
        <w:tc>
          <w:tcPr>
            <w:tcW w:w="960" w:type="dxa"/>
            <w:vMerge w:val="restart"/>
            <w:tcBorders>
              <w:top w:val="single" w:sz="8" w:space="0" w:color="auto"/>
              <w:left w:val="single" w:sz="8" w:space="0" w:color="auto"/>
              <w:bottom w:val="single" w:sz="4" w:space="0" w:color="000000"/>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Line </w:t>
            </w:r>
          </w:p>
        </w:tc>
        <w:tc>
          <w:tcPr>
            <w:tcW w:w="3195" w:type="dxa"/>
            <w:vMerge w:val="restart"/>
            <w:tcBorders>
              <w:top w:val="single" w:sz="8" w:space="0" w:color="auto"/>
              <w:left w:val="single" w:sz="4" w:space="0" w:color="auto"/>
              <w:bottom w:val="single" w:sz="4" w:space="0" w:color="000000"/>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Item</w:t>
            </w:r>
          </w:p>
        </w:tc>
        <w:tc>
          <w:tcPr>
            <w:tcW w:w="2620" w:type="dxa"/>
            <w:gridSpan w:val="2"/>
            <w:tcBorders>
              <w:top w:val="single" w:sz="8" w:space="0" w:color="auto"/>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31.12.2018</w:t>
            </w:r>
          </w:p>
        </w:tc>
        <w:tc>
          <w:tcPr>
            <w:tcW w:w="2500" w:type="dxa"/>
            <w:gridSpan w:val="2"/>
            <w:tcBorders>
              <w:top w:val="single" w:sz="8" w:space="0" w:color="auto"/>
              <w:left w:val="nil"/>
              <w:bottom w:val="single" w:sz="4" w:space="0" w:color="auto"/>
              <w:right w:val="single" w:sz="8" w:space="0" w:color="000000"/>
            </w:tcBorders>
            <w:noWrap/>
            <w:vAlign w:val="bottom"/>
            <w:hideMark/>
          </w:tcPr>
          <w:p w:rsidR="009D05B9" w:rsidRPr="00BA5143" w:rsidRDefault="009D05B9">
            <w:pPr>
              <w:jc w:val="center"/>
              <w:rPr>
                <w:sz w:val="20"/>
                <w:szCs w:val="20"/>
                <w:lang w:val="en-US"/>
              </w:rPr>
            </w:pPr>
            <w:r w:rsidRPr="00BA5143">
              <w:rPr>
                <w:sz w:val="20"/>
                <w:szCs w:val="20"/>
                <w:lang w:val="en-US"/>
              </w:rPr>
              <w:t>31.12.2017</w:t>
            </w:r>
          </w:p>
        </w:tc>
      </w:tr>
      <w:tr w:rsidR="009D05B9" w:rsidRPr="00BA5143" w:rsidTr="009D05B9">
        <w:trPr>
          <w:trHeight w:val="510"/>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9D05B9" w:rsidRPr="00BA5143" w:rsidRDefault="009D05B9">
            <w:pPr>
              <w:rPr>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D05B9" w:rsidRPr="00BA5143" w:rsidRDefault="009D05B9">
            <w:pPr>
              <w:rPr>
                <w:sz w:val="20"/>
                <w:szCs w:val="20"/>
                <w:lang w:val="en-US"/>
              </w:rPr>
            </w:pPr>
          </w:p>
        </w:tc>
        <w:tc>
          <w:tcPr>
            <w:tcW w:w="987"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costs</w:t>
            </w:r>
          </w:p>
        </w:tc>
        <w:tc>
          <w:tcPr>
            <w:tcW w:w="1633" w:type="dxa"/>
            <w:tcBorders>
              <w:top w:val="nil"/>
              <w:left w:val="nil"/>
              <w:bottom w:val="single" w:sz="4" w:space="0" w:color="auto"/>
              <w:right w:val="single" w:sz="4" w:space="0" w:color="auto"/>
            </w:tcBorders>
            <w:vAlign w:val="bottom"/>
            <w:hideMark/>
          </w:tcPr>
          <w:p w:rsidR="009D05B9" w:rsidRPr="00BA5143" w:rsidRDefault="009D05B9">
            <w:pPr>
              <w:jc w:val="center"/>
              <w:rPr>
                <w:sz w:val="20"/>
                <w:szCs w:val="20"/>
                <w:lang w:val="en-US"/>
              </w:rPr>
            </w:pPr>
            <w:r w:rsidRPr="00BA5143">
              <w:rPr>
                <w:sz w:val="20"/>
                <w:szCs w:val="20"/>
                <w:lang w:val="en-US"/>
              </w:rPr>
              <w:t>accrued liability</w:t>
            </w:r>
          </w:p>
        </w:tc>
        <w:tc>
          <w:tcPr>
            <w:tcW w:w="958"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costs</w:t>
            </w:r>
          </w:p>
        </w:tc>
        <w:tc>
          <w:tcPr>
            <w:tcW w:w="1542" w:type="dxa"/>
            <w:tcBorders>
              <w:top w:val="nil"/>
              <w:left w:val="nil"/>
              <w:bottom w:val="single" w:sz="4" w:space="0" w:color="auto"/>
              <w:right w:val="single" w:sz="4" w:space="0" w:color="auto"/>
            </w:tcBorders>
            <w:vAlign w:val="bottom"/>
            <w:hideMark/>
          </w:tcPr>
          <w:p w:rsidR="009D05B9" w:rsidRPr="00BA5143" w:rsidRDefault="009D05B9">
            <w:pPr>
              <w:jc w:val="center"/>
              <w:rPr>
                <w:sz w:val="20"/>
                <w:szCs w:val="20"/>
                <w:lang w:val="en-US"/>
              </w:rPr>
            </w:pPr>
            <w:r w:rsidRPr="00BA5143">
              <w:rPr>
                <w:sz w:val="20"/>
                <w:szCs w:val="20"/>
                <w:lang w:val="en-US"/>
              </w:rPr>
              <w:t>accrued liability</w:t>
            </w:r>
          </w:p>
        </w:tc>
      </w:tr>
      <w:tr w:rsidR="009D05B9" w:rsidRPr="00BA5143" w:rsidTr="009D05B9">
        <w:trPr>
          <w:trHeight w:val="255"/>
        </w:trPr>
        <w:tc>
          <w:tcPr>
            <w:tcW w:w="960" w:type="dxa"/>
            <w:tcBorders>
              <w:top w:val="nil"/>
              <w:left w:val="single" w:sz="8" w:space="0" w:color="auto"/>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1</w:t>
            </w:r>
          </w:p>
        </w:tc>
        <w:tc>
          <w:tcPr>
            <w:tcW w:w="3195"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2</w:t>
            </w:r>
          </w:p>
        </w:tc>
        <w:tc>
          <w:tcPr>
            <w:tcW w:w="987"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3</w:t>
            </w:r>
          </w:p>
        </w:tc>
        <w:tc>
          <w:tcPr>
            <w:tcW w:w="1633"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4</w:t>
            </w:r>
          </w:p>
        </w:tc>
        <w:tc>
          <w:tcPr>
            <w:tcW w:w="958" w:type="dxa"/>
            <w:tcBorders>
              <w:top w:val="nil"/>
              <w:left w:val="nil"/>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5</w:t>
            </w:r>
          </w:p>
        </w:tc>
        <w:tc>
          <w:tcPr>
            <w:tcW w:w="1542" w:type="dxa"/>
            <w:tcBorders>
              <w:top w:val="nil"/>
              <w:left w:val="nil"/>
              <w:bottom w:val="single" w:sz="4" w:space="0" w:color="auto"/>
              <w:right w:val="single" w:sz="8" w:space="0" w:color="auto"/>
            </w:tcBorders>
            <w:noWrap/>
            <w:vAlign w:val="bottom"/>
            <w:hideMark/>
          </w:tcPr>
          <w:p w:rsidR="009D05B9" w:rsidRPr="00BA5143" w:rsidRDefault="009D05B9">
            <w:pPr>
              <w:jc w:val="center"/>
              <w:rPr>
                <w:sz w:val="20"/>
                <w:szCs w:val="20"/>
                <w:lang w:val="en-US"/>
              </w:rPr>
            </w:pPr>
            <w:r w:rsidRPr="00BA5143">
              <w:rPr>
                <w:sz w:val="20"/>
                <w:szCs w:val="20"/>
                <w:lang w:val="en-US"/>
              </w:rPr>
              <w:t>6</w:t>
            </w:r>
          </w:p>
        </w:tc>
      </w:tr>
      <w:tr w:rsidR="009D05B9" w:rsidRPr="00BA5143" w:rsidTr="009D05B9">
        <w:trPr>
          <w:trHeight w:val="255"/>
        </w:trPr>
        <w:tc>
          <w:tcPr>
            <w:tcW w:w="960" w:type="dxa"/>
            <w:tcBorders>
              <w:top w:val="nil"/>
              <w:left w:val="single" w:sz="8" w:space="0" w:color="auto"/>
              <w:bottom w:val="single" w:sz="4" w:space="0" w:color="auto"/>
              <w:right w:val="single" w:sz="4" w:space="0" w:color="auto"/>
            </w:tcBorders>
            <w:noWrap/>
            <w:vAlign w:val="bottom"/>
            <w:hideMark/>
          </w:tcPr>
          <w:p w:rsidR="009D05B9" w:rsidRPr="00BA5143" w:rsidRDefault="009D05B9">
            <w:pPr>
              <w:jc w:val="center"/>
              <w:rPr>
                <w:sz w:val="20"/>
                <w:szCs w:val="20"/>
                <w:lang w:val="en-US"/>
              </w:rPr>
            </w:pPr>
            <w:r w:rsidRPr="00BA5143">
              <w:rPr>
                <w:sz w:val="20"/>
                <w:szCs w:val="20"/>
                <w:lang w:val="en-US"/>
              </w:rPr>
              <w:t>1</w:t>
            </w:r>
          </w:p>
        </w:tc>
        <w:tc>
          <w:tcPr>
            <w:tcW w:w="3195" w:type="dxa"/>
            <w:tcBorders>
              <w:top w:val="nil"/>
              <w:left w:val="nil"/>
              <w:bottom w:val="single" w:sz="4" w:space="0" w:color="auto"/>
              <w:right w:val="single" w:sz="4" w:space="0" w:color="auto"/>
            </w:tcBorders>
            <w:noWrap/>
            <w:vAlign w:val="bottom"/>
            <w:hideMark/>
          </w:tcPr>
          <w:p w:rsidR="009D05B9" w:rsidRPr="00BA5143" w:rsidRDefault="009D05B9">
            <w:pPr>
              <w:rPr>
                <w:sz w:val="20"/>
                <w:szCs w:val="20"/>
                <w:lang w:val="en-US"/>
              </w:rPr>
            </w:pPr>
            <w:r w:rsidRPr="00BA5143">
              <w:rPr>
                <w:sz w:val="20"/>
                <w:szCs w:val="20"/>
                <w:lang w:val="en-US"/>
              </w:rPr>
              <w:t>Current employee benefits</w:t>
            </w:r>
          </w:p>
        </w:tc>
        <w:tc>
          <w:tcPr>
            <w:tcW w:w="987" w:type="dxa"/>
            <w:tcBorders>
              <w:top w:val="nil"/>
              <w:left w:val="nil"/>
              <w:bottom w:val="single" w:sz="4" w:space="0" w:color="auto"/>
              <w:right w:val="single" w:sz="4" w:space="0" w:color="auto"/>
            </w:tcBorders>
            <w:noWrap/>
            <w:vAlign w:val="bottom"/>
            <w:hideMark/>
          </w:tcPr>
          <w:p w:rsidR="009D05B9" w:rsidRPr="00BA5143" w:rsidRDefault="009D05B9">
            <w:pPr>
              <w:jc w:val="right"/>
              <w:rPr>
                <w:sz w:val="20"/>
                <w:szCs w:val="20"/>
                <w:lang w:val="en-US"/>
              </w:rPr>
            </w:pPr>
            <w:r w:rsidRPr="00BA5143">
              <w:rPr>
                <w:sz w:val="20"/>
                <w:szCs w:val="20"/>
                <w:lang w:val="en-US"/>
              </w:rPr>
              <w:t>3 747</w:t>
            </w:r>
          </w:p>
        </w:tc>
        <w:tc>
          <w:tcPr>
            <w:tcW w:w="1633" w:type="dxa"/>
            <w:tcBorders>
              <w:top w:val="nil"/>
              <w:left w:val="nil"/>
              <w:bottom w:val="single" w:sz="4" w:space="0" w:color="auto"/>
              <w:right w:val="single" w:sz="4" w:space="0" w:color="auto"/>
            </w:tcBorders>
            <w:noWrap/>
            <w:vAlign w:val="bottom"/>
            <w:hideMark/>
          </w:tcPr>
          <w:p w:rsidR="009D05B9" w:rsidRPr="00BA5143" w:rsidRDefault="009D05B9">
            <w:pPr>
              <w:jc w:val="right"/>
              <w:rPr>
                <w:sz w:val="20"/>
                <w:szCs w:val="20"/>
                <w:lang w:val="en-US"/>
              </w:rPr>
            </w:pPr>
            <w:r w:rsidRPr="00BA5143">
              <w:rPr>
                <w:sz w:val="20"/>
                <w:szCs w:val="20"/>
                <w:lang w:val="en-US"/>
              </w:rPr>
              <w:t>119</w:t>
            </w:r>
          </w:p>
        </w:tc>
        <w:tc>
          <w:tcPr>
            <w:tcW w:w="958" w:type="dxa"/>
            <w:tcBorders>
              <w:top w:val="nil"/>
              <w:left w:val="nil"/>
              <w:bottom w:val="single" w:sz="4" w:space="0" w:color="auto"/>
              <w:right w:val="single" w:sz="4" w:space="0" w:color="auto"/>
            </w:tcBorders>
            <w:noWrap/>
            <w:vAlign w:val="bottom"/>
            <w:hideMark/>
          </w:tcPr>
          <w:p w:rsidR="009D05B9" w:rsidRPr="00BA5143" w:rsidRDefault="009D05B9">
            <w:pPr>
              <w:jc w:val="right"/>
              <w:rPr>
                <w:sz w:val="20"/>
                <w:szCs w:val="20"/>
                <w:lang w:val="en-US"/>
              </w:rPr>
            </w:pPr>
            <w:r w:rsidRPr="00BA5143">
              <w:rPr>
                <w:sz w:val="20"/>
                <w:szCs w:val="20"/>
                <w:lang w:val="en-US"/>
              </w:rPr>
              <w:t>2 150</w:t>
            </w:r>
          </w:p>
        </w:tc>
        <w:tc>
          <w:tcPr>
            <w:tcW w:w="1542" w:type="dxa"/>
            <w:tcBorders>
              <w:top w:val="nil"/>
              <w:left w:val="nil"/>
              <w:bottom w:val="single" w:sz="4" w:space="0" w:color="auto"/>
              <w:right w:val="single" w:sz="8" w:space="0" w:color="auto"/>
            </w:tcBorders>
            <w:noWrap/>
            <w:vAlign w:val="bottom"/>
            <w:hideMark/>
          </w:tcPr>
          <w:p w:rsidR="009D05B9" w:rsidRPr="00BA5143" w:rsidRDefault="009D05B9">
            <w:pPr>
              <w:jc w:val="right"/>
              <w:rPr>
                <w:sz w:val="20"/>
                <w:szCs w:val="20"/>
                <w:lang w:val="en-US"/>
              </w:rPr>
            </w:pPr>
            <w:r w:rsidRPr="00BA5143">
              <w:rPr>
                <w:sz w:val="20"/>
                <w:szCs w:val="20"/>
                <w:lang w:val="en-US"/>
              </w:rPr>
              <w:t>53</w:t>
            </w:r>
          </w:p>
        </w:tc>
      </w:tr>
    </w:tbl>
    <w:p w:rsidR="00AD49B2" w:rsidRPr="00BA5143" w:rsidRDefault="00AD49B2" w:rsidP="004A5E7E">
      <w:pPr>
        <w:spacing w:line="240" w:lineRule="exact"/>
        <w:rPr>
          <w:highlight w:val="yellow"/>
          <w:lang w:val="en-US"/>
        </w:rPr>
      </w:pPr>
    </w:p>
    <w:p w:rsidR="004A5E7E" w:rsidRPr="00BA5143" w:rsidRDefault="004A5E7E" w:rsidP="004A5E7E">
      <w:pPr>
        <w:spacing w:line="240" w:lineRule="exact"/>
        <w:rPr>
          <w:b/>
          <w:lang w:val="en-US"/>
        </w:rPr>
      </w:pPr>
      <w:r w:rsidRPr="00BA5143">
        <w:rPr>
          <w:b/>
          <w:lang w:val="en-US"/>
        </w:rPr>
        <w:t>Operations with business entities related to authorities</w:t>
      </w:r>
    </w:p>
    <w:p w:rsidR="004A5E7E" w:rsidRPr="00BA5143" w:rsidRDefault="004A5E7E" w:rsidP="004A5E7E">
      <w:pPr>
        <w:spacing w:line="240" w:lineRule="exact"/>
        <w:jc w:val="center"/>
        <w:rPr>
          <w:b/>
          <w:lang w:val="en-US"/>
        </w:rPr>
      </w:pPr>
    </w:p>
    <w:p w:rsidR="004A5E7E" w:rsidRPr="00BA5143" w:rsidRDefault="004A5E7E" w:rsidP="004A5E7E">
      <w:pPr>
        <w:spacing w:line="240" w:lineRule="exact"/>
        <w:ind w:firstLine="426"/>
        <w:rPr>
          <w:bCs/>
          <w:lang w:val="en-US"/>
        </w:rPr>
      </w:pPr>
      <w:r w:rsidRPr="00BA5143">
        <w:rPr>
          <w:bCs/>
          <w:lang w:val="en-US"/>
        </w:rPr>
        <w:t>As at 31 December 2018, the Bank's shares are not property of the State, but for almost all of 2017 the Bank was 98.3275% owned by the State under the control of the State Property Fund of Ukraine.</w:t>
      </w:r>
    </w:p>
    <w:p w:rsidR="004A5E7E" w:rsidRPr="00BA5143" w:rsidRDefault="004A5E7E" w:rsidP="004A5E7E">
      <w:pPr>
        <w:spacing w:line="240" w:lineRule="exact"/>
        <w:ind w:firstLine="426"/>
        <w:rPr>
          <w:bCs/>
          <w:lang w:val="en-US"/>
        </w:rPr>
      </w:pPr>
      <w:r w:rsidRPr="00BA5143">
        <w:rPr>
          <w:bCs/>
          <w:lang w:val="en-US"/>
        </w:rPr>
        <w:t>Entities connected with public authorities - controlled entities are under joint control or significant influence of state authorities. Public authorities are government bodies, government agencies and similar bodies of state power.</w:t>
      </w:r>
    </w:p>
    <w:p w:rsidR="004A5E7E" w:rsidRPr="00BA5143" w:rsidRDefault="004A5E7E" w:rsidP="004A5E7E">
      <w:pPr>
        <w:spacing w:line="240" w:lineRule="exact"/>
        <w:ind w:firstLine="426"/>
        <w:rPr>
          <w:bCs/>
          <w:lang w:val="en-US"/>
        </w:rPr>
      </w:pPr>
      <w:r w:rsidRPr="00BA5143">
        <w:rPr>
          <w:bCs/>
          <w:lang w:val="en-US"/>
        </w:rPr>
        <w:t>During the previous financial year, the Bank carried out the following transactions with entities related to the authorities:</w:t>
      </w:r>
    </w:p>
    <w:p w:rsidR="009D05B9" w:rsidRPr="00BA5143" w:rsidRDefault="009D05B9" w:rsidP="009D05B9">
      <w:pPr>
        <w:spacing w:line="240" w:lineRule="exact"/>
        <w:ind w:firstLine="567"/>
        <w:jc w:val="right"/>
        <w:rPr>
          <w:lang w:val="en-US"/>
        </w:rPr>
      </w:pPr>
      <w:r w:rsidRPr="00BA5143">
        <w:rPr>
          <w:lang w:val="en-US"/>
        </w:rPr>
        <w:t>(ths. UAH.)</w:t>
      </w:r>
    </w:p>
    <w:tbl>
      <w:tblPr>
        <w:tblStyle w:val="af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843"/>
      </w:tblGrid>
      <w:tr w:rsidR="009D05B9" w:rsidRPr="00BA5143" w:rsidTr="009D05B9">
        <w:tc>
          <w:tcPr>
            <w:tcW w:w="7621" w:type="dxa"/>
          </w:tcPr>
          <w:p w:rsidR="009D05B9" w:rsidRPr="00BA5143" w:rsidRDefault="009D05B9">
            <w:pPr>
              <w:spacing w:line="240" w:lineRule="exact"/>
              <w:jc w:val="both"/>
              <w:rPr>
                <w:lang w:val="en-US"/>
              </w:rPr>
            </w:pPr>
          </w:p>
        </w:tc>
        <w:tc>
          <w:tcPr>
            <w:tcW w:w="1843" w:type="dxa"/>
          </w:tcPr>
          <w:p w:rsidR="009D05B9" w:rsidRPr="00BA5143" w:rsidRDefault="009D05B9">
            <w:pPr>
              <w:spacing w:line="240" w:lineRule="exact"/>
              <w:jc w:val="center"/>
              <w:rPr>
                <w:lang w:val="en-US"/>
              </w:rPr>
            </w:pPr>
          </w:p>
        </w:tc>
      </w:tr>
      <w:tr w:rsidR="009D05B9" w:rsidRPr="00BA5143" w:rsidTr="009D05B9">
        <w:tc>
          <w:tcPr>
            <w:tcW w:w="7621" w:type="dxa"/>
            <w:tcBorders>
              <w:top w:val="nil"/>
              <w:left w:val="nil"/>
              <w:bottom w:val="single" w:sz="4" w:space="0" w:color="auto"/>
              <w:right w:val="nil"/>
            </w:tcBorders>
            <w:hideMark/>
          </w:tcPr>
          <w:p w:rsidR="009D05B9" w:rsidRPr="00BA5143" w:rsidRDefault="009D05B9">
            <w:pPr>
              <w:spacing w:line="240" w:lineRule="exact"/>
              <w:rPr>
                <w:b/>
                <w:i/>
                <w:lang w:val="en-US"/>
              </w:rPr>
            </w:pPr>
            <w:r w:rsidRPr="00BA5143">
              <w:rPr>
                <w:b/>
                <w:i/>
                <w:lang w:val="en-US"/>
              </w:rPr>
              <w:t>Balances with transactions with entities related to government agencies</w:t>
            </w:r>
          </w:p>
        </w:tc>
        <w:tc>
          <w:tcPr>
            <w:tcW w:w="1843" w:type="dxa"/>
            <w:tcBorders>
              <w:top w:val="nil"/>
              <w:left w:val="nil"/>
              <w:bottom w:val="single" w:sz="4" w:space="0" w:color="auto"/>
              <w:right w:val="nil"/>
            </w:tcBorders>
            <w:hideMark/>
          </w:tcPr>
          <w:p w:rsidR="009D05B9" w:rsidRPr="00BA5143" w:rsidRDefault="009D05B9">
            <w:pPr>
              <w:spacing w:line="240" w:lineRule="exact"/>
              <w:jc w:val="right"/>
              <w:rPr>
                <w:lang w:val="en-US"/>
              </w:rPr>
            </w:pPr>
            <w:r w:rsidRPr="00BA5143">
              <w:rPr>
                <w:lang w:val="en-US"/>
              </w:rPr>
              <w:t>31.12.2017</w:t>
            </w:r>
          </w:p>
        </w:tc>
      </w:tr>
      <w:tr w:rsidR="009D05B9" w:rsidRPr="00BA5143" w:rsidTr="009D05B9">
        <w:tc>
          <w:tcPr>
            <w:tcW w:w="7621" w:type="dxa"/>
            <w:tcBorders>
              <w:top w:val="single" w:sz="4" w:space="0" w:color="auto"/>
              <w:left w:val="nil"/>
              <w:bottom w:val="nil"/>
              <w:right w:val="nil"/>
            </w:tcBorders>
            <w:hideMark/>
          </w:tcPr>
          <w:p w:rsidR="009D05B9" w:rsidRPr="00BA5143" w:rsidRDefault="009D05B9">
            <w:pPr>
              <w:rPr>
                <w:lang w:val="en-US"/>
              </w:rPr>
            </w:pPr>
            <w:r w:rsidRPr="00BA5143">
              <w:rPr>
                <w:lang w:val="en-US"/>
              </w:rPr>
              <w:t>Correspondent account with the National Bank of Ukraine</w:t>
            </w:r>
          </w:p>
        </w:tc>
        <w:tc>
          <w:tcPr>
            <w:tcW w:w="1843" w:type="dxa"/>
            <w:tcBorders>
              <w:top w:val="single" w:sz="4" w:space="0" w:color="auto"/>
              <w:left w:val="nil"/>
              <w:bottom w:val="nil"/>
              <w:right w:val="nil"/>
            </w:tcBorders>
            <w:hideMark/>
          </w:tcPr>
          <w:p w:rsidR="009D05B9" w:rsidRPr="00BA5143" w:rsidRDefault="009D05B9">
            <w:pPr>
              <w:spacing w:line="240" w:lineRule="exact"/>
              <w:jc w:val="right"/>
              <w:rPr>
                <w:lang w:val="en-US"/>
              </w:rPr>
            </w:pPr>
            <w:r w:rsidRPr="00BA5143">
              <w:rPr>
                <w:lang w:val="en-US"/>
              </w:rPr>
              <w:t>1 948</w:t>
            </w:r>
          </w:p>
        </w:tc>
      </w:tr>
      <w:tr w:rsidR="009D05B9" w:rsidRPr="00BA5143" w:rsidTr="009D05B9">
        <w:tc>
          <w:tcPr>
            <w:tcW w:w="7621" w:type="dxa"/>
            <w:hideMark/>
          </w:tcPr>
          <w:p w:rsidR="009D05B9" w:rsidRPr="00BA5143" w:rsidRDefault="009D05B9">
            <w:pPr>
              <w:rPr>
                <w:lang w:val="en-US"/>
              </w:rPr>
            </w:pPr>
            <w:r w:rsidRPr="00BA5143">
              <w:rPr>
                <w:lang w:val="en-US"/>
              </w:rPr>
              <w:t>Correspondent accounts in other banks</w:t>
            </w:r>
          </w:p>
        </w:tc>
        <w:tc>
          <w:tcPr>
            <w:tcW w:w="1843" w:type="dxa"/>
            <w:hideMark/>
          </w:tcPr>
          <w:p w:rsidR="009D05B9" w:rsidRPr="00BA5143" w:rsidRDefault="009D05B9">
            <w:pPr>
              <w:spacing w:line="240" w:lineRule="exact"/>
              <w:jc w:val="right"/>
              <w:rPr>
                <w:lang w:val="en-US"/>
              </w:rPr>
            </w:pPr>
            <w:r w:rsidRPr="00BA5143">
              <w:rPr>
                <w:lang w:val="en-US"/>
              </w:rPr>
              <w:t>679</w:t>
            </w:r>
          </w:p>
        </w:tc>
      </w:tr>
      <w:tr w:rsidR="009D05B9" w:rsidRPr="00BA5143" w:rsidTr="009D05B9">
        <w:tc>
          <w:tcPr>
            <w:tcW w:w="7621" w:type="dxa"/>
            <w:hideMark/>
          </w:tcPr>
          <w:p w:rsidR="009D05B9" w:rsidRPr="00BA5143" w:rsidRDefault="009D05B9">
            <w:pPr>
              <w:rPr>
                <w:lang w:val="en-US"/>
              </w:rPr>
            </w:pPr>
            <w:r w:rsidRPr="00BA5143">
              <w:rPr>
                <w:lang w:val="en-US"/>
              </w:rPr>
              <w:t>Securities in the bank's portfolio to maturity</w:t>
            </w:r>
          </w:p>
        </w:tc>
        <w:tc>
          <w:tcPr>
            <w:tcW w:w="1843" w:type="dxa"/>
            <w:hideMark/>
          </w:tcPr>
          <w:p w:rsidR="009D05B9" w:rsidRPr="00BA5143" w:rsidRDefault="009D05B9">
            <w:pPr>
              <w:spacing w:line="240" w:lineRule="exact"/>
              <w:jc w:val="right"/>
              <w:rPr>
                <w:lang w:val="en-US"/>
              </w:rPr>
            </w:pPr>
            <w:r w:rsidRPr="00BA5143">
              <w:rPr>
                <w:lang w:val="en-US"/>
              </w:rPr>
              <w:t>149 720</w:t>
            </w:r>
          </w:p>
        </w:tc>
      </w:tr>
      <w:tr w:rsidR="009D05B9" w:rsidRPr="00BA5143" w:rsidTr="009D05B9">
        <w:tc>
          <w:tcPr>
            <w:tcW w:w="7621" w:type="dxa"/>
            <w:hideMark/>
          </w:tcPr>
          <w:p w:rsidR="009D05B9" w:rsidRPr="00BA5143" w:rsidRDefault="009D05B9">
            <w:pPr>
              <w:rPr>
                <w:lang w:val="en-US"/>
              </w:rPr>
            </w:pPr>
            <w:r w:rsidRPr="00BA5143">
              <w:rPr>
                <w:lang w:val="en-US"/>
              </w:rPr>
              <w:t>Subordinated debt</w:t>
            </w:r>
          </w:p>
        </w:tc>
        <w:tc>
          <w:tcPr>
            <w:tcW w:w="1843" w:type="dxa"/>
            <w:hideMark/>
          </w:tcPr>
          <w:p w:rsidR="009D05B9" w:rsidRPr="00BA5143" w:rsidRDefault="009D05B9">
            <w:pPr>
              <w:spacing w:line="240" w:lineRule="exact"/>
              <w:jc w:val="right"/>
              <w:rPr>
                <w:lang w:val="en-US"/>
              </w:rPr>
            </w:pPr>
            <w:r w:rsidRPr="00BA5143">
              <w:rPr>
                <w:lang w:val="en-US"/>
              </w:rPr>
              <w:t>(23 296)</w:t>
            </w:r>
          </w:p>
        </w:tc>
      </w:tr>
      <w:tr w:rsidR="009D05B9" w:rsidRPr="00BA5143" w:rsidTr="009D05B9">
        <w:tc>
          <w:tcPr>
            <w:tcW w:w="7621" w:type="dxa"/>
            <w:tcBorders>
              <w:top w:val="nil"/>
              <w:left w:val="nil"/>
              <w:bottom w:val="single" w:sz="4" w:space="0" w:color="auto"/>
              <w:right w:val="nil"/>
            </w:tcBorders>
            <w:hideMark/>
          </w:tcPr>
          <w:p w:rsidR="009D05B9" w:rsidRPr="00BA5143" w:rsidRDefault="009D05B9">
            <w:pPr>
              <w:spacing w:line="240" w:lineRule="exact"/>
              <w:jc w:val="both"/>
              <w:rPr>
                <w:b/>
                <w:i/>
                <w:lang w:val="en-US"/>
              </w:rPr>
            </w:pPr>
            <w:r w:rsidRPr="00BA5143">
              <w:rPr>
                <w:b/>
                <w:i/>
                <w:lang w:val="en-US"/>
              </w:rPr>
              <w:t>Income and expenses on operations with economic entities related to state authorities</w:t>
            </w:r>
          </w:p>
        </w:tc>
        <w:tc>
          <w:tcPr>
            <w:tcW w:w="1843" w:type="dxa"/>
            <w:tcBorders>
              <w:top w:val="nil"/>
              <w:left w:val="nil"/>
              <w:bottom w:val="single" w:sz="4" w:space="0" w:color="auto"/>
              <w:right w:val="nil"/>
            </w:tcBorders>
            <w:hideMark/>
          </w:tcPr>
          <w:p w:rsidR="009D05B9" w:rsidRPr="00BA5143" w:rsidRDefault="009D05B9">
            <w:pPr>
              <w:spacing w:line="240" w:lineRule="exact"/>
              <w:jc w:val="right"/>
              <w:rPr>
                <w:lang w:val="en-US"/>
              </w:rPr>
            </w:pPr>
            <w:r w:rsidRPr="00BA5143">
              <w:rPr>
                <w:lang w:val="en-US"/>
              </w:rPr>
              <w:t>31.12.2017</w:t>
            </w:r>
          </w:p>
        </w:tc>
      </w:tr>
      <w:tr w:rsidR="009D05B9" w:rsidRPr="00BA5143" w:rsidTr="009D05B9">
        <w:tc>
          <w:tcPr>
            <w:tcW w:w="7621" w:type="dxa"/>
            <w:hideMark/>
          </w:tcPr>
          <w:p w:rsidR="009D05B9" w:rsidRPr="00BA5143" w:rsidRDefault="009D05B9">
            <w:pPr>
              <w:rPr>
                <w:lang w:val="en-US"/>
              </w:rPr>
            </w:pPr>
            <w:r w:rsidRPr="00BA5143">
              <w:rPr>
                <w:lang w:val="en-US"/>
              </w:rPr>
              <w:t>Interest income on funds placed on correspondent accounts</w:t>
            </w:r>
          </w:p>
        </w:tc>
        <w:tc>
          <w:tcPr>
            <w:tcW w:w="1843" w:type="dxa"/>
            <w:hideMark/>
          </w:tcPr>
          <w:p w:rsidR="009D05B9" w:rsidRPr="00BA5143" w:rsidRDefault="009D05B9">
            <w:pPr>
              <w:spacing w:line="240" w:lineRule="exact"/>
              <w:jc w:val="right"/>
              <w:rPr>
                <w:lang w:val="en-US"/>
              </w:rPr>
            </w:pPr>
            <w:r w:rsidRPr="00BA5143">
              <w:rPr>
                <w:lang w:val="en-US"/>
              </w:rPr>
              <w:t>44</w:t>
            </w:r>
          </w:p>
        </w:tc>
      </w:tr>
      <w:tr w:rsidR="009D05B9" w:rsidRPr="00BA5143" w:rsidTr="009D05B9">
        <w:tc>
          <w:tcPr>
            <w:tcW w:w="7621" w:type="dxa"/>
            <w:hideMark/>
          </w:tcPr>
          <w:p w:rsidR="009D05B9" w:rsidRPr="00BA5143" w:rsidRDefault="009D05B9">
            <w:pPr>
              <w:rPr>
                <w:lang w:val="en-US"/>
              </w:rPr>
            </w:pPr>
            <w:r w:rsidRPr="00BA5143">
              <w:rPr>
                <w:lang w:val="en-US"/>
              </w:rPr>
              <w:t>Interest income on securities</w:t>
            </w:r>
          </w:p>
        </w:tc>
        <w:tc>
          <w:tcPr>
            <w:tcW w:w="1843" w:type="dxa"/>
            <w:hideMark/>
          </w:tcPr>
          <w:p w:rsidR="009D05B9" w:rsidRPr="00BA5143" w:rsidRDefault="009D05B9">
            <w:pPr>
              <w:spacing w:line="240" w:lineRule="exact"/>
              <w:jc w:val="right"/>
              <w:rPr>
                <w:lang w:val="en-US"/>
              </w:rPr>
            </w:pPr>
            <w:r w:rsidRPr="00BA5143">
              <w:rPr>
                <w:lang w:val="en-US"/>
              </w:rPr>
              <w:t>9 895</w:t>
            </w:r>
          </w:p>
        </w:tc>
      </w:tr>
      <w:tr w:rsidR="009D05B9" w:rsidRPr="00BA5143" w:rsidTr="009D05B9">
        <w:tc>
          <w:tcPr>
            <w:tcW w:w="7621" w:type="dxa"/>
            <w:hideMark/>
          </w:tcPr>
          <w:p w:rsidR="009D05B9" w:rsidRPr="00BA5143" w:rsidRDefault="009D05B9">
            <w:pPr>
              <w:rPr>
                <w:lang w:val="en-US"/>
              </w:rPr>
            </w:pPr>
            <w:r w:rsidRPr="00BA5143">
              <w:rPr>
                <w:lang w:val="en-US"/>
              </w:rPr>
              <w:t>Interest expense on subordinated debt</w:t>
            </w:r>
          </w:p>
        </w:tc>
        <w:tc>
          <w:tcPr>
            <w:tcW w:w="1843" w:type="dxa"/>
            <w:hideMark/>
          </w:tcPr>
          <w:p w:rsidR="009D05B9" w:rsidRPr="00BA5143" w:rsidRDefault="009D05B9">
            <w:pPr>
              <w:spacing w:line="240" w:lineRule="exact"/>
              <w:jc w:val="right"/>
              <w:rPr>
                <w:lang w:val="en-US"/>
              </w:rPr>
            </w:pPr>
            <w:r w:rsidRPr="00BA5143">
              <w:rPr>
                <w:lang w:val="en-US"/>
              </w:rPr>
              <w:t>(7 037)</w:t>
            </w:r>
          </w:p>
        </w:tc>
      </w:tr>
    </w:tbl>
    <w:p w:rsidR="00D33BE9" w:rsidRPr="00BA5143" w:rsidRDefault="00D33BE9" w:rsidP="00D33BE9">
      <w:pPr>
        <w:spacing w:line="240" w:lineRule="exact"/>
        <w:jc w:val="both"/>
        <w:rPr>
          <w:b/>
          <w:lang w:val="en-US"/>
        </w:rPr>
      </w:pPr>
    </w:p>
    <w:p w:rsidR="00255855" w:rsidRDefault="00255855" w:rsidP="003432AC">
      <w:pPr>
        <w:spacing w:line="240" w:lineRule="exact"/>
        <w:ind w:firstLine="540"/>
        <w:jc w:val="both"/>
        <w:rPr>
          <w:b/>
          <w:lang w:val="en-US"/>
        </w:rPr>
      </w:pPr>
    </w:p>
    <w:p w:rsidR="00BC5DCE" w:rsidRPr="00BA5143" w:rsidRDefault="004A5E7E" w:rsidP="003432AC">
      <w:pPr>
        <w:spacing w:line="240" w:lineRule="exact"/>
        <w:ind w:firstLine="540"/>
        <w:jc w:val="both"/>
        <w:rPr>
          <w:b/>
          <w:lang w:val="en-US"/>
        </w:rPr>
      </w:pPr>
      <w:r w:rsidRPr="00BA5143">
        <w:rPr>
          <w:b/>
          <w:lang w:val="en-US"/>
        </w:rPr>
        <w:t>NOTE 31. SUBSEQUENT EVENTS</w:t>
      </w:r>
    </w:p>
    <w:p w:rsidR="004A5E7E" w:rsidRPr="00BA5143" w:rsidRDefault="004A5E7E" w:rsidP="003432AC">
      <w:pPr>
        <w:spacing w:line="240" w:lineRule="exact"/>
        <w:ind w:firstLine="540"/>
        <w:jc w:val="both"/>
        <w:rPr>
          <w:lang w:val="en-US"/>
        </w:rPr>
      </w:pPr>
    </w:p>
    <w:p w:rsidR="00C439C3" w:rsidRPr="00BA5143" w:rsidRDefault="004A5E7E" w:rsidP="00176CCE">
      <w:pPr>
        <w:pStyle w:val="a4"/>
        <w:spacing w:before="120" w:beforeAutospacing="0" w:line="240" w:lineRule="exact"/>
        <w:jc w:val="both"/>
        <w:rPr>
          <w:color w:val="000000"/>
          <w:lang w:val="en-US"/>
        </w:rPr>
      </w:pPr>
      <w:r w:rsidRPr="00BA5143">
        <w:rPr>
          <w:lang w:val="en-US"/>
        </w:rPr>
        <w:t>After the end of the reporting period and before the date of this report, significant events that could affect the results of these financial statements were not made.</w:t>
      </w:r>
      <w:r w:rsidR="00176CCE" w:rsidRPr="00BA5143">
        <w:rPr>
          <w:lang w:val="en-US"/>
        </w:rPr>
        <w:t xml:space="preserve"> </w:t>
      </w:r>
    </w:p>
    <w:p w:rsidR="004A5E7E" w:rsidRPr="00BA5143" w:rsidRDefault="004A5E7E" w:rsidP="004A5E7E">
      <w:pPr>
        <w:pStyle w:val="a4"/>
        <w:tabs>
          <w:tab w:val="left" w:pos="3969"/>
          <w:tab w:val="left" w:pos="4111"/>
        </w:tabs>
        <w:spacing w:before="0" w:beforeAutospacing="0" w:after="120" w:afterAutospacing="0" w:line="240" w:lineRule="exact"/>
        <w:jc w:val="both"/>
        <w:rPr>
          <w:color w:val="000000"/>
          <w:lang w:val="en-US"/>
        </w:rPr>
      </w:pPr>
      <w:r w:rsidRPr="00BA5143">
        <w:rPr>
          <w:color w:val="000000"/>
          <w:lang w:val="en-US"/>
        </w:rPr>
        <w:t xml:space="preserve">Chairman                                            </w:t>
      </w:r>
      <w:r w:rsidRPr="00BA5143">
        <w:rPr>
          <w:color w:val="000000"/>
          <w:lang w:val="en-US"/>
        </w:rPr>
        <w:tab/>
        <w:t xml:space="preserve">                  О. Loktionov </w:t>
      </w:r>
    </w:p>
    <w:p w:rsidR="004A5E7E" w:rsidRPr="00BA5143" w:rsidRDefault="004A5E7E" w:rsidP="004A5E7E">
      <w:pPr>
        <w:pStyle w:val="a4"/>
        <w:tabs>
          <w:tab w:val="left" w:pos="4111"/>
        </w:tabs>
        <w:spacing w:before="0" w:beforeAutospacing="0" w:after="0" w:afterAutospacing="0" w:line="240" w:lineRule="exact"/>
        <w:jc w:val="both"/>
        <w:rPr>
          <w:color w:val="000000"/>
          <w:lang w:val="en-US"/>
        </w:rPr>
      </w:pPr>
      <w:r w:rsidRPr="00BA5143">
        <w:rPr>
          <w:color w:val="000000"/>
          <w:lang w:val="en-US"/>
        </w:rPr>
        <w:t xml:space="preserve">Chief </w:t>
      </w:r>
      <w:r w:rsidR="00C13E4C" w:rsidRPr="00BA5143">
        <w:rPr>
          <w:color w:val="000000"/>
          <w:lang w:val="en-US"/>
        </w:rPr>
        <w:t>accountant</w:t>
      </w:r>
      <w:r w:rsidRPr="00BA5143">
        <w:rPr>
          <w:color w:val="000000"/>
          <w:lang w:val="en-US"/>
        </w:rPr>
        <w:tab/>
      </w:r>
      <w:r w:rsidRPr="00BA5143">
        <w:rPr>
          <w:color w:val="000000"/>
          <w:lang w:val="en-US"/>
        </w:rPr>
        <w:tab/>
      </w:r>
      <w:r w:rsidRPr="00BA5143">
        <w:rPr>
          <w:color w:val="000000"/>
          <w:lang w:val="en-US"/>
        </w:rPr>
        <w:tab/>
      </w:r>
      <w:r w:rsidR="006C58AD">
        <w:rPr>
          <w:color w:val="000000"/>
          <w:lang w:val="en-US"/>
        </w:rPr>
        <w:t xml:space="preserve"> </w:t>
      </w:r>
      <w:r w:rsidRPr="00BA5143">
        <w:rPr>
          <w:color w:val="000000"/>
          <w:lang w:val="en-US"/>
        </w:rPr>
        <w:t xml:space="preserve">N. </w:t>
      </w:r>
      <w:proofErr w:type="spellStart"/>
      <w:r w:rsidRPr="00BA5143">
        <w:rPr>
          <w:color w:val="000000"/>
          <w:lang w:val="en-US"/>
        </w:rPr>
        <w:t>Zelen</w:t>
      </w:r>
      <w:r w:rsidR="006C58AD">
        <w:rPr>
          <w:color w:val="000000"/>
          <w:lang w:val="en-US"/>
        </w:rPr>
        <w:t>i</w:t>
      </w:r>
      <w:r w:rsidRPr="00BA5143">
        <w:rPr>
          <w:color w:val="000000"/>
          <w:lang w:val="en-US"/>
        </w:rPr>
        <w:t>uk</w:t>
      </w:r>
      <w:proofErr w:type="spellEnd"/>
      <w:r w:rsidRPr="00BA5143">
        <w:rPr>
          <w:color w:val="000000"/>
          <w:lang w:val="en-US"/>
        </w:rPr>
        <w:t xml:space="preserve"> </w:t>
      </w:r>
    </w:p>
    <w:sectPr w:rsidR="004A5E7E" w:rsidRPr="00BA5143" w:rsidSect="00A2591C">
      <w:headerReference w:type="default" r:id="rId8"/>
      <w:footerReference w:type="even" r:id="rId9"/>
      <w:footerReference w:type="default" r:id="rId10"/>
      <w:headerReference w:type="first" r:id="rId11"/>
      <w:pgSz w:w="11906" w:h="16838"/>
      <w:pgMar w:top="1134" w:right="926"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D52" w:rsidRDefault="00F84D52">
      <w:r>
        <w:separator/>
      </w:r>
    </w:p>
  </w:endnote>
  <w:endnote w:type="continuationSeparator" w:id="0">
    <w:p w:rsidR="00F84D52" w:rsidRDefault="00F84D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B2" w:rsidRDefault="00D36AB2" w:rsidP="00A2591C">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36AB2" w:rsidRDefault="00D36AB2" w:rsidP="0049464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B2" w:rsidRDefault="00D36AB2" w:rsidP="00EF0A1E">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3678C">
      <w:rPr>
        <w:rStyle w:val="af5"/>
        <w:noProof/>
      </w:rPr>
      <w:t>7</w:t>
    </w:r>
    <w:r>
      <w:rPr>
        <w:rStyle w:val="af5"/>
      </w:rPr>
      <w:fldChar w:fldCharType="end"/>
    </w:r>
  </w:p>
  <w:p w:rsidR="00D36AB2" w:rsidRDefault="00D36AB2" w:rsidP="000C2A47">
    <w:pPr>
      <w:pStyle w:val="aa"/>
      <w:ind w:right="360"/>
      <w:rPr>
        <w:lang w:val="en-US"/>
      </w:rPr>
    </w:pPr>
  </w:p>
  <w:p w:rsidR="00D36AB2" w:rsidRPr="00850B34" w:rsidRDefault="00D36AB2" w:rsidP="000C2A47">
    <w:pPr>
      <w:pStyle w:val="aa"/>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D52" w:rsidRDefault="00F84D52">
      <w:r>
        <w:separator/>
      </w:r>
    </w:p>
  </w:footnote>
  <w:footnote w:type="continuationSeparator" w:id="0">
    <w:p w:rsidR="00F84D52" w:rsidRDefault="00F84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B2" w:rsidRDefault="00D36AB2" w:rsidP="00FC7FEE">
    <w:pPr>
      <w:pStyle w:val="af6"/>
      <w:jc w:val="right"/>
      <w:rPr>
        <w:i/>
        <w:sz w:val="20"/>
        <w:szCs w:val="20"/>
        <w:lang w:val="uk-UA"/>
      </w:rPr>
    </w:pPr>
    <w:r w:rsidRPr="00BA5143">
      <w:rPr>
        <w:i/>
        <w:sz w:val="20"/>
        <w:szCs w:val="20"/>
        <w:lang w:val="en-US"/>
      </w:rPr>
      <w:t>Annual</w:t>
    </w:r>
    <w:r w:rsidRPr="003821DB">
      <w:rPr>
        <w:i/>
        <w:sz w:val="20"/>
        <w:szCs w:val="20"/>
        <w:lang w:val="uk-UA"/>
      </w:rPr>
      <w:t xml:space="preserve"> </w:t>
    </w:r>
    <w:proofErr w:type="spellStart"/>
    <w:r w:rsidRPr="003821DB">
      <w:rPr>
        <w:i/>
        <w:sz w:val="20"/>
        <w:szCs w:val="20"/>
        <w:lang w:val="uk-UA"/>
      </w:rPr>
      <w:t>report</w:t>
    </w:r>
    <w:proofErr w:type="spellEnd"/>
    <w:r w:rsidRPr="003821DB">
      <w:rPr>
        <w:i/>
        <w:sz w:val="20"/>
        <w:szCs w:val="20"/>
        <w:lang w:val="uk-UA"/>
      </w:rPr>
      <w:t xml:space="preserve"> </w:t>
    </w:r>
    <w:proofErr w:type="spellStart"/>
    <w:r w:rsidRPr="003821DB">
      <w:rPr>
        <w:i/>
        <w:sz w:val="20"/>
        <w:szCs w:val="20"/>
        <w:lang w:val="uk-UA"/>
      </w:rPr>
      <w:t>for</w:t>
    </w:r>
    <w:proofErr w:type="spellEnd"/>
    <w:r w:rsidRPr="003821DB">
      <w:rPr>
        <w:i/>
        <w:sz w:val="20"/>
        <w:szCs w:val="20"/>
        <w:lang w:val="uk-UA"/>
      </w:rPr>
      <w:t xml:space="preserve"> 2018</w:t>
    </w:r>
  </w:p>
  <w:p w:rsidR="00D36AB2" w:rsidRPr="005841B5" w:rsidRDefault="00D36AB2" w:rsidP="003821DB">
    <w:pPr>
      <w:pStyle w:val="af6"/>
      <w:jc w:val="right"/>
      <w:rPr>
        <w:i/>
        <w:sz w:val="20"/>
        <w:szCs w:val="20"/>
        <w:lang w:val="uk-UA"/>
      </w:rPr>
    </w:pPr>
    <w:r w:rsidRPr="003821DB">
      <w:rPr>
        <w:i/>
        <w:sz w:val="20"/>
        <w:szCs w:val="20"/>
        <w:lang w:val="uk-UA"/>
      </w:rPr>
      <w:t xml:space="preserve">Joint-Stock </w:t>
    </w:r>
    <w:proofErr w:type="spellStart"/>
    <w:r w:rsidRPr="003821DB">
      <w:rPr>
        <w:i/>
        <w:sz w:val="20"/>
        <w:szCs w:val="20"/>
        <w:lang w:val="uk-UA"/>
      </w:rPr>
      <w:t>Company</w:t>
    </w:r>
    <w:proofErr w:type="spellEnd"/>
    <w:r w:rsidRPr="003821DB">
      <w:rPr>
        <w:i/>
        <w:sz w:val="20"/>
        <w:szCs w:val="20"/>
        <w:lang w:val="uk-UA"/>
      </w:rPr>
      <w:t xml:space="preserve"> "</w:t>
    </w:r>
    <w:proofErr w:type="spellStart"/>
    <w:r w:rsidRPr="003821DB">
      <w:rPr>
        <w:i/>
        <w:sz w:val="20"/>
        <w:szCs w:val="20"/>
        <w:lang w:val="uk-UA"/>
      </w:rPr>
      <w:t>Ukrainian</w:t>
    </w:r>
    <w:proofErr w:type="spellEnd"/>
    <w:r w:rsidRPr="003821DB">
      <w:rPr>
        <w:i/>
        <w:sz w:val="20"/>
        <w:szCs w:val="20"/>
        <w:lang w:val="uk-UA"/>
      </w:rPr>
      <w:t xml:space="preserve"> </w:t>
    </w:r>
    <w:proofErr w:type="spellStart"/>
    <w:r w:rsidRPr="003821DB">
      <w:rPr>
        <w:i/>
        <w:sz w:val="20"/>
        <w:szCs w:val="20"/>
        <w:lang w:val="uk-UA"/>
      </w:rPr>
      <w:t>Bank</w:t>
    </w:r>
    <w:proofErr w:type="spellEnd"/>
    <w:r w:rsidRPr="003821DB">
      <w:rPr>
        <w:i/>
        <w:sz w:val="20"/>
        <w:szCs w:val="20"/>
        <w:lang w:val="uk-UA"/>
      </w:rPr>
      <w:t xml:space="preserve"> </w:t>
    </w:r>
    <w:proofErr w:type="spellStart"/>
    <w:r w:rsidRPr="003821DB">
      <w:rPr>
        <w:i/>
        <w:sz w:val="20"/>
        <w:szCs w:val="20"/>
        <w:lang w:val="uk-UA"/>
      </w:rPr>
      <w:t>for</w:t>
    </w:r>
    <w:proofErr w:type="spellEnd"/>
    <w:r w:rsidRPr="003821DB">
      <w:rPr>
        <w:i/>
        <w:sz w:val="20"/>
        <w:szCs w:val="20"/>
        <w:lang w:val="uk-UA"/>
      </w:rPr>
      <w:t xml:space="preserve"> </w:t>
    </w:r>
    <w:proofErr w:type="spellStart"/>
    <w:r w:rsidRPr="003821DB">
      <w:rPr>
        <w:i/>
        <w:sz w:val="20"/>
        <w:szCs w:val="20"/>
        <w:lang w:val="uk-UA"/>
      </w:rPr>
      <w:t>Reconstruction</w:t>
    </w:r>
    <w:proofErr w:type="spellEnd"/>
    <w:r w:rsidRPr="003821DB">
      <w:rPr>
        <w:i/>
        <w:sz w:val="20"/>
        <w:szCs w:val="20"/>
        <w:lang w:val="uk-UA"/>
      </w:rPr>
      <w:t xml:space="preserve"> </w:t>
    </w:r>
    <w:proofErr w:type="spellStart"/>
    <w:r w:rsidRPr="003821DB">
      <w:rPr>
        <w:i/>
        <w:sz w:val="20"/>
        <w:szCs w:val="20"/>
        <w:lang w:val="uk-UA"/>
      </w:rPr>
      <w:t>and</w:t>
    </w:r>
    <w:proofErr w:type="spellEnd"/>
    <w:r w:rsidRPr="003821DB">
      <w:rPr>
        <w:i/>
        <w:sz w:val="20"/>
        <w:szCs w:val="20"/>
        <w:lang w:val="uk-UA"/>
      </w:rPr>
      <w:t xml:space="preserve"> </w:t>
    </w:r>
    <w:proofErr w:type="spellStart"/>
    <w:r w:rsidRPr="003821DB">
      <w:rPr>
        <w:i/>
        <w:sz w:val="20"/>
        <w:szCs w:val="20"/>
        <w:lang w:val="uk-UA"/>
      </w:rPr>
      <w:t>Development</w:t>
    </w:r>
    <w:proofErr w:type="spellEnd"/>
    <w:r w:rsidRPr="003821DB">
      <w:rPr>
        <w:i/>
        <w:sz w:val="20"/>
        <w:szCs w:val="20"/>
        <w:lang w:val="uk-U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B2" w:rsidRDefault="00D36AB2">
    <w:pPr>
      <w:pStyle w:val="af6"/>
    </w:pPr>
    <w:r>
      <w:rPr>
        <w:rStyle w:val="af5"/>
      </w:rPr>
      <w:fldChar w:fldCharType="begin"/>
    </w:r>
    <w:r>
      <w:rPr>
        <w:rStyle w:val="af5"/>
      </w:rPr>
      <w:instrText xml:space="preserve"> PAGE </w:instrText>
    </w:r>
    <w:r>
      <w:rPr>
        <w:rStyle w:val="af5"/>
      </w:rPr>
      <w:fldChar w:fldCharType="separate"/>
    </w:r>
    <w:r>
      <w:rPr>
        <w:rStyle w:val="af5"/>
        <w:noProof/>
      </w:rPr>
      <w:t>36</w:t>
    </w:r>
    <w:r>
      <w:rPr>
        <w:rStyle w:val="af5"/>
      </w:rPr>
      <w:fldChar w:fldCharType="end"/>
    </w:r>
    <w:r>
      <w:rPr>
        <w:rStyle w:val="af5"/>
      </w:rPr>
      <w:fldChar w:fldCharType="begin"/>
    </w:r>
    <w:r>
      <w:rPr>
        <w:rStyle w:val="af5"/>
      </w:rPr>
      <w:instrText xml:space="preserve"> PAGE </w:instrText>
    </w:r>
    <w:r>
      <w:rPr>
        <w:rStyle w:val="af5"/>
      </w:rPr>
      <w:fldChar w:fldCharType="separate"/>
    </w:r>
    <w:r>
      <w:rPr>
        <w:rStyle w:val="af5"/>
        <w:noProof/>
      </w:rPr>
      <w:t>58</w:t>
    </w:r>
    <w:r>
      <w:rPr>
        <w:rStyle w:val="af5"/>
      </w:rPr>
      <w:fldChar w:fldCharType="end"/>
    </w:r>
    <w:r>
      <w:rPr>
        <w:rStyle w:val="af5"/>
      </w:rPr>
      <w:fldChar w:fldCharType="begin"/>
    </w:r>
    <w:r>
      <w:rPr>
        <w:rStyle w:val="af5"/>
      </w:rPr>
      <w:instrText xml:space="preserve"> PAGE </w:instrText>
    </w:r>
    <w:r>
      <w:rPr>
        <w:rStyle w:val="af5"/>
      </w:rPr>
      <w:fldChar w:fldCharType="separate"/>
    </w:r>
    <w:r>
      <w:rPr>
        <w:rStyle w:val="af5"/>
        <w:noProof/>
      </w:rPr>
      <w:t>30</w:t>
    </w:r>
    <w:r>
      <w:rPr>
        <w:rStyle w:val="af5"/>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BFF"/>
    <w:multiLevelType w:val="hybridMultilevel"/>
    <w:tmpl w:val="7988C4E6"/>
    <w:lvl w:ilvl="0" w:tplc="A00A1608">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302A2F"/>
    <w:multiLevelType w:val="hybridMultilevel"/>
    <w:tmpl w:val="4716675A"/>
    <w:lvl w:ilvl="0" w:tplc="5224C82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B63109F"/>
    <w:multiLevelType w:val="hybridMultilevel"/>
    <w:tmpl w:val="8D6001F8"/>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402647"/>
    <w:multiLevelType w:val="hybridMultilevel"/>
    <w:tmpl w:val="67BADBFE"/>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EF4A01"/>
    <w:multiLevelType w:val="hybridMultilevel"/>
    <w:tmpl w:val="7EF04CE2"/>
    <w:lvl w:ilvl="0" w:tplc="3B62ADEC">
      <w:start w:val="2"/>
      <w:numFmt w:val="bullet"/>
      <w:lvlText w:val="-"/>
      <w:lvlJc w:val="left"/>
      <w:pPr>
        <w:ind w:left="720" w:hanging="360"/>
      </w:pPr>
      <w:rPr>
        <w:rFonts w:ascii="Times New Roman" w:eastAsia="Times New Roman" w:hAnsi="Times New Roman" w:cs="Times New Roman" w:hint="default"/>
        <w:w w:val="13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2E1DFA"/>
    <w:multiLevelType w:val="hybridMultilevel"/>
    <w:tmpl w:val="7FB24EBE"/>
    <w:lvl w:ilvl="0" w:tplc="67C2F56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99E04B8"/>
    <w:multiLevelType w:val="hybridMultilevel"/>
    <w:tmpl w:val="87FE963C"/>
    <w:lvl w:ilvl="0" w:tplc="D4DC9370">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9B0DFA"/>
    <w:multiLevelType w:val="hybridMultilevel"/>
    <w:tmpl w:val="C6AE87A2"/>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D730CDB"/>
    <w:multiLevelType w:val="hybridMultilevel"/>
    <w:tmpl w:val="A12A5AE2"/>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AE4687"/>
    <w:multiLevelType w:val="hybridMultilevel"/>
    <w:tmpl w:val="D812AD70"/>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88C32CD"/>
    <w:multiLevelType w:val="hybridMultilevel"/>
    <w:tmpl w:val="BC3E3138"/>
    <w:lvl w:ilvl="0" w:tplc="430472D0">
      <w:start w:val="1"/>
      <w:numFmt w:val="bullet"/>
      <w:lvlText w:val=""/>
      <w:lvlJc w:val="left"/>
      <w:pPr>
        <w:tabs>
          <w:tab w:val="num" w:pos="2195"/>
        </w:tabs>
        <w:ind w:left="2195" w:hanging="360"/>
      </w:pPr>
      <w:rPr>
        <w:rFonts w:ascii="Wingdings" w:hAnsi="Wingdings" w:hint="default"/>
      </w:rPr>
    </w:lvl>
    <w:lvl w:ilvl="1" w:tplc="A5D688E6">
      <w:numFmt w:val="bullet"/>
      <w:lvlText w:val="-"/>
      <w:lvlJc w:val="left"/>
      <w:pPr>
        <w:tabs>
          <w:tab w:val="num" w:pos="1628"/>
        </w:tabs>
        <w:ind w:left="1628" w:hanging="360"/>
      </w:pPr>
      <w:rPr>
        <w:rFonts w:ascii="Times New Roman" w:eastAsia="Times New Roman" w:hAnsi="Times New Roman" w:cs="Times New Roman" w:hint="default"/>
      </w:rPr>
    </w:lvl>
    <w:lvl w:ilvl="2" w:tplc="04190005" w:tentative="1">
      <w:start w:val="1"/>
      <w:numFmt w:val="bullet"/>
      <w:lvlText w:val=""/>
      <w:lvlJc w:val="left"/>
      <w:pPr>
        <w:tabs>
          <w:tab w:val="num" w:pos="2348"/>
        </w:tabs>
        <w:ind w:left="2348" w:hanging="360"/>
      </w:pPr>
      <w:rPr>
        <w:rFonts w:ascii="Wingdings" w:hAnsi="Wingdings" w:hint="default"/>
      </w:rPr>
    </w:lvl>
    <w:lvl w:ilvl="3" w:tplc="04190001" w:tentative="1">
      <w:start w:val="1"/>
      <w:numFmt w:val="bullet"/>
      <w:lvlText w:val=""/>
      <w:lvlJc w:val="left"/>
      <w:pPr>
        <w:tabs>
          <w:tab w:val="num" w:pos="3068"/>
        </w:tabs>
        <w:ind w:left="3068" w:hanging="360"/>
      </w:pPr>
      <w:rPr>
        <w:rFonts w:ascii="Symbol" w:hAnsi="Symbol" w:hint="default"/>
      </w:rPr>
    </w:lvl>
    <w:lvl w:ilvl="4" w:tplc="04190003" w:tentative="1">
      <w:start w:val="1"/>
      <w:numFmt w:val="bullet"/>
      <w:lvlText w:val="o"/>
      <w:lvlJc w:val="left"/>
      <w:pPr>
        <w:tabs>
          <w:tab w:val="num" w:pos="3788"/>
        </w:tabs>
        <w:ind w:left="3788" w:hanging="360"/>
      </w:pPr>
      <w:rPr>
        <w:rFonts w:ascii="Courier New" w:hAnsi="Courier New" w:cs="Courier New" w:hint="default"/>
      </w:rPr>
    </w:lvl>
    <w:lvl w:ilvl="5" w:tplc="04190005" w:tentative="1">
      <w:start w:val="1"/>
      <w:numFmt w:val="bullet"/>
      <w:lvlText w:val=""/>
      <w:lvlJc w:val="left"/>
      <w:pPr>
        <w:tabs>
          <w:tab w:val="num" w:pos="4508"/>
        </w:tabs>
        <w:ind w:left="4508" w:hanging="360"/>
      </w:pPr>
      <w:rPr>
        <w:rFonts w:ascii="Wingdings" w:hAnsi="Wingdings" w:hint="default"/>
      </w:rPr>
    </w:lvl>
    <w:lvl w:ilvl="6" w:tplc="04190001" w:tentative="1">
      <w:start w:val="1"/>
      <w:numFmt w:val="bullet"/>
      <w:lvlText w:val=""/>
      <w:lvlJc w:val="left"/>
      <w:pPr>
        <w:tabs>
          <w:tab w:val="num" w:pos="5228"/>
        </w:tabs>
        <w:ind w:left="5228" w:hanging="360"/>
      </w:pPr>
      <w:rPr>
        <w:rFonts w:ascii="Symbol" w:hAnsi="Symbol" w:hint="default"/>
      </w:rPr>
    </w:lvl>
    <w:lvl w:ilvl="7" w:tplc="04190003" w:tentative="1">
      <w:start w:val="1"/>
      <w:numFmt w:val="bullet"/>
      <w:lvlText w:val="o"/>
      <w:lvlJc w:val="left"/>
      <w:pPr>
        <w:tabs>
          <w:tab w:val="num" w:pos="5948"/>
        </w:tabs>
        <w:ind w:left="5948" w:hanging="360"/>
      </w:pPr>
      <w:rPr>
        <w:rFonts w:ascii="Courier New" w:hAnsi="Courier New" w:cs="Courier New" w:hint="default"/>
      </w:rPr>
    </w:lvl>
    <w:lvl w:ilvl="8" w:tplc="04190005" w:tentative="1">
      <w:start w:val="1"/>
      <w:numFmt w:val="bullet"/>
      <w:lvlText w:val=""/>
      <w:lvlJc w:val="left"/>
      <w:pPr>
        <w:tabs>
          <w:tab w:val="num" w:pos="6668"/>
        </w:tabs>
        <w:ind w:left="6668" w:hanging="360"/>
      </w:pPr>
      <w:rPr>
        <w:rFonts w:ascii="Wingdings" w:hAnsi="Wingdings" w:hint="default"/>
      </w:rPr>
    </w:lvl>
  </w:abstractNum>
  <w:abstractNum w:abstractNumId="11">
    <w:nsid w:val="2B230883"/>
    <w:multiLevelType w:val="hybridMultilevel"/>
    <w:tmpl w:val="745C7C40"/>
    <w:lvl w:ilvl="0" w:tplc="25B63552">
      <w:start w:val="1"/>
      <w:numFmt w:val="bullet"/>
      <w:lvlText w:val="-"/>
      <w:lvlJc w:val="left"/>
      <w:pPr>
        <w:tabs>
          <w:tab w:val="num" w:pos="7413"/>
        </w:tabs>
        <w:ind w:left="7413" w:hanging="750"/>
      </w:pPr>
      <w:rPr>
        <w:rFonts w:ascii="Times New Roman" w:eastAsia="Times New Roman" w:hAnsi="Times New Roman" w:cs="Times New Roman" w:hint="default"/>
        <w:sz w:val="20"/>
        <w:szCs w:val="20"/>
      </w:rPr>
    </w:lvl>
    <w:lvl w:ilvl="1" w:tplc="ADA895B0">
      <w:start w:val="1"/>
      <w:numFmt w:val="bullet"/>
      <w:lvlText w:val=""/>
      <w:lvlJc w:val="left"/>
      <w:pPr>
        <w:tabs>
          <w:tab w:val="num" w:pos="7743"/>
        </w:tabs>
        <w:ind w:left="7743" w:hanging="360"/>
      </w:pPr>
      <w:rPr>
        <w:rFonts w:ascii="Symbol" w:hAnsi="Symbol" w:hint="default"/>
        <w:sz w:val="22"/>
        <w:szCs w:val="22"/>
      </w:rPr>
    </w:lvl>
    <w:lvl w:ilvl="2" w:tplc="04190005" w:tentative="1">
      <w:start w:val="1"/>
      <w:numFmt w:val="bullet"/>
      <w:lvlText w:val=""/>
      <w:lvlJc w:val="left"/>
      <w:pPr>
        <w:tabs>
          <w:tab w:val="num" w:pos="8463"/>
        </w:tabs>
        <w:ind w:left="8463" w:hanging="360"/>
      </w:pPr>
      <w:rPr>
        <w:rFonts w:ascii="Wingdings" w:hAnsi="Wingdings" w:hint="default"/>
      </w:rPr>
    </w:lvl>
    <w:lvl w:ilvl="3" w:tplc="04190001" w:tentative="1">
      <w:start w:val="1"/>
      <w:numFmt w:val="bullet"/>
      <w:lvlText w:val=""/>
      <w:lvlJc w:val="left"/>
      <w:pPr>
        <w:tabs>
          <w:tab w:val="num" w:pos="9183"/>
        </w:tabs>
        <w:ind w:left="9183" w:hanging="360"/>
      </w:pPr>
      <w:rPr>
        <w:rFonts w:ascii="Symbol" w:hAnsi="Symbol" w:hint="default"/>
      </w:rPr>
    </w:lvl>
    <w:lvl w:ilvl="4" w:tplc="04190003" w:tentative="1">
      <w:start w:val="1"/>
      <w:numFmt w:val="bullet"/>
      <w:lvlText w:val="o"/>
      <w:lvlJc w:val="left"/>
      <w:pPr>
        <w:tabs>
          <w:tab w:val="num" w:pos="9903"/>
        </w:tabs>
        <w:ind w:left="9903" w:hanging="360"/>
      </w:pPr>
      <w:rPr>
        <w:rFonts w:ascii="Courier New" w:hAnsi="Courier New" w:cs="Courier New" w:hint="default"/>
      </w:rPr>
    </w:lvl>
    <w:lvl w:ilvl="5" w:tplc="04190005" w:tentative="1">
      <w:start w:val="1"/>
      <w:numFmt w:val="bullet"/>
      <w:lvlText w:val=""/>
      <w:lvlJc w:val="left"/>
      <w:pPr>
        <w:tabs>
          <w:tab w:val="num" w:pos="10623"/>
        </w:tabs>
        <w:ind w:left="10623" w:hanging="360"/>
      </w:pPr>
      <w:rPr>
        <w:rFonts w:ascii="Wingdings" w:hAnsi="Wingdings" w:hint="default"/>
      </w:rPr>
    </w:lvl>
    <w:lvl w:ilvl="6" w:tplc="04190001" w:tentative="1">
      <w:start w:val="1"/>
      <w:numFmt w:val="bullet"/>
      <w:lvlText w:val=""/>
      <w:lvlJc w:val="left"/>
      <w:pPr>
        <w:tabs>
          <w:tab w:val="num" w:pos="11343"/>
        </w:tabs>
        <w:ind w:left="11343" w:hanging="360"/>
      </w:pPr>
      <w:rPr>
        <w:rFonts w:ascii="Symbol" w:hAnsi="Symbol" w:hint="default"/>
      </w:rPr>
    </w:lvl>
    <w:lvl w:ilvl="7" w:tplc="04190003" w:tentative="1">
      <w:start w:val="1"/>
      <w:numFmt w:val="bullet"/>
      <w:lvlText w:val="o"/>
      <w:lvlJc w:val="left"/>
      <w:pPr>
        <w:tabs>
          <w:tab w:val="num" w:pos="12063"/>
        </w:tabs>
        <w:ind w:left="12063" w:hanging="360"/>
      </w:pPr>
      <w:rPr>
        <w:rFonts w:ascii="Courier New" w:hAnsi="Courier New" w:cs="Courier New" w:hint="default"/>
      </w:rPr>
    </w:lvl>
    <w:lvl w:ilvl="8" w:tplc="04190005" w:tentative="1">
      <w:start w:val="1"/>
      <w:numFmt w:val="bullet"/>
      <w:lvlText w:val=""/>
      <w:lvlJc w:val="left"/>
      <w:pPr>
        <w:tabs>
          <w:tab w:val="num" w:pos="12783"/>
        </w:tabs>
        <w:ind w:left="12783" w:hanging="360"/>
      </w:pPr>
      <w:rPr>
        <w:rFonts w:ascii="Wingdings" w:hAnsi="Wingdings" w:hint="default"/>
      </w:rPr>
    </w:lvl>
  </w:abstractNum>
  <w:abstractNum w:abstractNumId="12">
    <w:nsid w:val="323B4E2D"/>
    <w:multiLevelType w:val="hybridMultilevel"/>
    <w:tmpl w:val="BC1641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7F01A8"/>
    <w:multiLevelType w:val="hybridMultilevel"/>
    <w:tmpl w:val="6CB03CD6"/>
    <w:lvl w:ilvl="0" w:tplc="3B62ADEC">
      <w:start w:val="2"/>
      <w:numFmt w:val="bullet"/>
      <w:lvlText w:val="-"/>
      <w:lvlJc w:val="left"/>
      <w:pPr>
        <w:ind w:left="720" w:hanging="360"/>
      </w:pPr>
      <w:rPr>
        <w:rFonts w:ascii="Times New Roman" w:eastAsia="Times New Roman" w:hAnsi="Times New Roman" w:cs="Times New Roman" w:hint="default"/>
        <w:w w:val="13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560141"/>
    <w:multiLevelType w:val="hybridMultilevel"/>
    <w:tmpl w:val="6F767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9E1F88"/>
    <w:multiLevelType w:val="hybridMultilevel"/>
    <w:tmpl w:val="2B640568"/>
    <w:lvl w:ilvl="0" w:tplc="0EF411B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8A12E18"/>
    <w:multiLevelType w:val="hybridMultilevel"/>
    <w:tmpl w:val="F91C4CA0"/>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3BB16BC"/>
    <w:multiLevelType w:val="hybridMultilevel"/>
    <w:tmpl w:val="D1C28C7C"/>
    <w:lvl w:ilvl="0" w:tplc="2B282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B2054FD"/>
    <w:multiLevelType w:val="hybridMultilevel"/>
    <w:tmpl w:val="5FAA91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C9003AD"/>
    <w:multiLevelType w:val="hybridMultilevel"/>
    <w:tmpl w:val="590EE1A4"/>
    <w:lvl w:ilvl="0" w:tplc="39942BE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EEF6956"/>
    <w:multiLevelType w:val="hybridMultilevel"/>
    <w:tmpl w:val="AC1A06BE"/>
    <w:lvl w:ilvl="0" w:tplc="A00A1608">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305E59"/>
    <w:multiLevelType w:val="hybridMultilevel"/>
    <w:tmpl w:val="946CA1B2"/>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22">
    <w:nsid w:val="59876475"/>
    <w:multiLevelType w:val="hybridMultilevel"/>
    <w:tmpl w:val="4386E3C4"/>
    <w:lvl w:ilvl="0" w:tplc="A5D688E6">
      <w:numFmt w:val="bullet"/>
      <w:lvlText w:val="-"/>
      <w:lvlJc w:val="left"/>
      <w:pPr>
        <w:ind w:left="785" w:hanging="360"/>
      </w:pPr>
      <w:rPr>
        <w:rFonts w:ascii="Times New Roman" w:eastAsia="Times New Roman" w:hAnsi="Times New Roman" w:cs="Times New Roman"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23">
    <w:nsid w:val="5BCA1082"/>
    <w:multiLevelType w:val="hybridMultilevel"/>
    <w:tmpl w:val="21CAA47A"/>
    <w:lvl w:ilvl="0" w:tplc="B50645C8">
      <w:start w:val="3"/>
      <w:numFmt w:val="bullet"/>
      <w:lvlText w:val="-"/>
      <w:lvlJc w:val="left"/>
      <w:pPr>
        <w:ind w:left="358" w:hanging="360"/>
      </w:pPr>
      <w:rPr>
        <w:rFonts w:ascii="Tahoma" w:eastAsia="Times New Roman" w:hAnsi="Tahoma" w:cs="Tahoma"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24">
    <w:nsid w:val="5D0564A3"/>
    <w:multiLevelType w:val="hybridMultilevel"/>
    <w:tmpl w:val="172A2982"/>
    <w:lvl w:ilvl="0" w:tplc="25B63552">
      <w:start w:val="1"/>
      <w:numFmt w:val="bullet"/>
      <w:lvlText w:val="-"/>
      <w:lvlJc w:val="left"/>
      <w:pPr>
        <w:tabs>
          <w:tab w:val="num" w:pos="1110"/>
        </w:tabs>
        <w:ind w:left="1110" w:hanging="750"/>
      </w:pPr>
      <w:rPr>
        <w:rFonts w:ascii="Times New Roman" w:eastAsia="Times New Roman" w:hAnsi="Times New Roman" w:cs="Times New Roman" w:hint="default"/>
        <w:sz w:val="20"/>
        <w:szCs w:val="20"/>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0027F68"/>
    <w:multiLevelType w:val="hybridMultilevel"/>
    <w:tmpl w:val="9C9EF4AA"/>
    <w:lvl w:ilvl="0" w:tplc="D4DC9370">
      <w:numFmt w:val="bullet"/>
      <w:lvlText w:val="-"/>
      <w:lvlJc w:val="left"/>
      <w:pPr>
        <w:ind w:left="1068" w:hanging="360"/>
      </w:pPr>
      <w:rPr>
        <w:rFonts w:ascii="Calibri" w:eastAsia="Calibri" w:hAnsi="Calibri"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63033140"/>
    <w:multiLevelType w:val="hybridMultilevel"/>
    <w:tmpl w:val="5A863E70"/>
    <w:lvl w:ilvl="0" w:tplc="A5D688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66C968F0"/>
    <w:multiLevelType w:val="multilevel"/>
    <w:tmpl w:val="1EA038B2"/>
    <w:lvl w:ilvl="0">
      <w:start w:val="5"/>
      <w:numFmt w:val="decimal"/>
      <w:lvlText w:val="%1."/>
      <w:lvlJc w:val="left"/>
      <w:pPr>
        <w:ind w:left="360" w:hanging="360"/>
      </w:pPr>
      <w:rPr>
        <w:rFonts w:hint="default"/>
      </w:rPr>
    </w:lvl>
    <w:lvl w:ilvl="1">
      <w:start w:val="1"/>
      <w:numFmt w:val="decimal"/>
      <w:pStyle w:val="StyleHeading3Garamond"/>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492DC0"/>
    <w:multiLevelType w:val="hybridMultilevel"/>
    <w:tmpl w:val="B1B609C0"/>
    <w:lvl w:ilvl="0" w:tplc="B95447B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4B7188"/>
    <w:multiLevelType w:val="hybridMultilevel"/>
    <w:tmpl w:val="16506440"/>
    <w:lvl w:ilvl="0" w:tplc="2F0C674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36F3926"/>
    <w:multiLevelType w:val="hybridMultilevel"/>
    <w:tmpl w:val="3C3A0166"/>
    <w:lvl w:ilvl="0" w:tplc="A00A1608">
      <w:start w:val="1"/>
      <w:numFmt w:val="bullet"/>
      <w:lvlText w:val=""/>
      <w:lvlJc w:val="left"/>
      <w:pPr>
        <w:tabs>
          <w:tab w:val="num" w:pos="1620"/>
        </w:tabs>
        <w:ind w:left="1620" w:hanging="360"/>
      </w:pPr>
      <w:rPr>
        <w:rFonts w:ascii="Symbol" w:hAnsi="Symbol" w:hint="default"/>
        <w:sz w:val="18"/>
        <w:szCs w:val="18"/>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nsid w:val="74965CEF"/>
    <w:multiLevelType w:val="hybridMultilevel"/>
    <w:tmpl w:val="2AC66D2A"/>
    <w:lvl w:ilvl="0" w:tplc="B95447B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1C74B5"/>
    <w:multiLevelType w:val="hybridMultilevel"/>
    <w:tmpl w:val="4014BC1E"/>
    <w:lvl w:ilvl="0" w:tplc="25B63552">
      <w:start w:val="1"/>
      <w:numFmt w:val="bullet"/>
      <w:lvlText w:val="-"/>
      <w:lvlJc w:val="left"/>
      <w:pPr>
        <w:tabs>
          <w:tab w:val="num" w:pos="1470"/>
        </w:tabs>
        <w:ind w:left="1470" w:hanging="75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7CAA6AAC"/>
    <w:multiLevelType w:val="hybridMultilevel"/>
    <w:tmpl w:val="44EEC938"/>
    <w:lvl w:ilvl="0" w:tplc="B95447B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4A204F"/>
    <w:multiLevelType w:val="hybridMultilevel"/>
    <w:tmpl w:val="7FC09090"/>
    <w:lvl w:ilvl="0" w:tplc="3B62ADEC">
      <w:start w:val="2"/>
      <w:numFmt w:val="bullet"/>
      <w:lvlText w:val="-"/>
      <w:lvlJc w:val="left"/>
      <w:pPr>
        <w:ind w:left="720" w:hanging="360"/>
      </w:pPr>
      <w:rPr>
        <w:rFonts w:ascii="Times New Roman" w:eastAsia="Times New Roman" w:hAnsi="Times New Roman" w:cs="Times New Roman" w:hint="default"/>
        <w:w w:val="13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6"/>
  </w:num>
  <w:num w:numId="5">
    <w:abstractNumId w:val="24"/>
  </w:num>
  <w:num w:numId="6">
    <w:abstractNumId w:val="2"/>
  </w:num>
  <w:num w:numId="7">
    <w:abstractNumId w:val="8"/>
  </w:num>
  <w:num w:numId="8">
    <w:abstractNumId w:val="21"/>
  </w:num>
  <w:num w:numId="9">
    <w:abstractNumId w:val="7"/>
  </w:num>
  <w:num w:numId="10">
    <w:abstractNumId w:val="19"/>
  </w:num>
  <w:num w:numId="11">
    <w:abstractNumId w:val="32"/>
  </w:num>
  <w:num w:numId="12">
    <w:abstractNumId w:val="0"/>
  </w:num>
  <w:num w:numId="13">
    <w:abstractNumId w:val="20"/>
  </w:num>
  <w:num w:numId="14">
    <w:abstractNumId w:val="12"/>
  </w:num>
  <w:num w:numId="15">
    <w:abstractNumId w:val="17"/>
  </w:num>
  <w:num w:numId="16">
    <w:abstractNumId w:val="30"/>
  </w:num>
  <w:num w:numId="17">
    <w:abstractNumId w:val="15"/>
  </w:num>
  <w:num w:numId="18">
    <w:abstractNumId w:val="27"/>
  </w:num>
  <w:num w:numId="19">
    <w:abstractNumId w:val="5"/>
  </w:num>
  <w:num w:numId="20">
    <w:abstractNumId w:val="1"/>
  </w:num>
  <w:num w:numId="21">
    <w:abstractNumId w:val="33"/>
  </w:num>
  <w:num w:numId="22">
    <w:abstractNumId w:val="28"/>
  </w:num>
  <w:num w:numId="23">
    <w:abstractNumId w:val="31"/>
  </w:num>
  <w:num w:numId="24">
    <w:abstractNumId w:val="18"/>
  </w:num>
  <w:num w:numId="25">
    <w:abstractNumId w:val="23"/>
  </w:num>
  <w:num w:numId="26">
    <w:abstractNumId w:val="13"/>
  </w:num>
  <w:num w:numId="27">
    <w:abstractNumId w:val="4"/>
  </w:num>
  <w:num w:numId="28">
    <w:abstractNumId w:val="25"/>
  </w:num>
  <w:num w:numId="29">
    <w:abstractNumId w:val="29"/>
  </w:num>
  <w:num w:numId="30">
    <w:abstractNumId w:val="14"/>
  </w:num>
  <w:num w:numId="31">
    <w:abstractNumId w:val="6"/>
  </w:num>
  <w:num w:numId="32">
    <w:abstractNumId w:val="34"/>
  </w:num>
  <w:num w:numId="33">
    <w:abstractNumId w:val="9"/>
  </w:num>
  <w:num w:numId="34">
    <w:abstractNumId w:val="26"/>
  </w:num>
  <w:num w:numId="35">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B5259"/>
    <w:rsid w:val="00000F2B"/>
    <w:rsid w:val="00001011"/>
    <w:rsid w:val="000011C3"/>
    <w:rsid w:val="00001E77"/>
    <w:rsid w:val="000023F3"/>
    <w:rsid w:val="000025D9"/>
    <w:rsid w:val="00002619"/>
    <w:rsid w:val="00002A66"/>
    <w:rsid w:val="000030ED"/>
    <w:rsid w:val="00003DC1"/>
    <w:rsid w:val="00004351"/>
    <w:rsid w:val="000043CF"/>
    <w:rsid w:val="0000530D"/>
    <w:rsid w:val="0000724D"/>
    <w:rsid w:val="000108E1"/>
    <w:rsid w:val="00010B37"/>
    <w:rsid w:val="00010D31"/>
    <w:rsid w:val="000111FC"/>
    <w:rsid w:val="00011C47"/>
    <w:rsid w:val="00012163"/>
    <w:rsid w:val="00012488"/>
    <w:rsid w:val="000124AD"/>
    <w:rsid w:val="000124B9"/>
    <w:rsid w:val="00012A20"/>
    <w:rsid w:val="00012AFB"/>
    <w:rsid w:val="00013919"/>
    <w:rsid w:val="00013DF5"/>
    <w:rsid w:val="00014E17"/>
    <w:rsid w:val="00015469"/>
    <w:rsid w:val="00015D70"/>
    <w:rsid w:val="0001671C"/>
    <w:rsid w:val="000179F8"/>
    <w:rsid w:val="00017D91"/>
    <w:rsid w:val="00020A85"/>
    <w:rsid w:val="00020D6D"/>
    <w:rsid w:val="00020F7D"/>
    <w:rsid w:val="00021650"/>
    <w:rsid w:val="00021753"/>
    <w:rsid w:val="00021E81"/>
    <w:rsid w:val="00023122"/>
    <w:rsid w:val="0002393D"/>
    <w:rsid w:val="00023AA6"/>
    <w:rsid w:val="0002475A"/>
    <w:rsid w:val="000255F4"/>
    <w:rsid w:val="0002560C"/>
    <w:rsid w:val="00025E00"/>
    <w:rsid w:val="000262A0"/>
    <w:rsid w:val="00026D1B"/>
    <w:rsid w:val="000271B9"/>
    <w:rsid w:val="00027808"/>
    <w:rsid w:val="0002791B"/>
    <w:rsid w:val="00030272"/>
    <w:rsid w:val="00030786"/>
    <w:rsid w:val="00030B7D"/>
    <w:rsid w:val="00030F37"/>
    <w:rsid w:val="00031304"/>
    <w:rsid w:val="00031347"/>
    <w:rsid w:val="00031637"/>
    <w:rsid w:val="00031F25"/>
    <w:rsid w:val="000324E5"/>
    <w:rsid w:val="000331EB"/>
    <w:rsid w:val="0003334A"/>
    <w:rsid w:val="00033554"/>
    <w:rsid w:val="000343C0"/>
    <w:rsid w:val="00034DBE"/>
    <w:rsid w:val="00035672"/>
    <w:rsid w:val="00035873"/>
    <w:rsid w:val="00036269"/>
    <w:rsid w:val="00036561"/>
    <w:rsid w:val="00036B82"/>
    <w:rsid w:val="000375C5"/>
    <w:rsid w:val="00037A3D"/>
    <w:rsid w:val="00037EAD"/>
    <w:rsid w:val="00040747"/>
    <w:rsid w:val="00040764"/>
    <w:rsid w:val="0004119F"/>
    <w:rsid w:val="00041AA9"/>
    <w:rsid w:val="00041E78"/>
    <w:rsid w:val="00042AF9"/>
    <w:rsid w:val="00043055"/>
    <w:rsid w:val="00043D96"/>
    <w:rsid w:val="00044F08"/>
    <w:rsid w:val="000460E6"/>
    <w:rsid w:val="000465A4"/>
    <w:rsid w:val="000502EB"/>
    <w:rsid w:val="00050AF0"/>
    <w:rsid w:val="0005148D"/>
    <w:rsid w:val="000515CD"/>
    <w:rsid w:val="00051C16"/>
    <w:rsid w:val="00052159"/>
    <w:rsid w:val="00052907"/>
    <w:rsid w:val="00052A00"/>
    <w:rsid w:val="00052B92"/>
    <w:rsid w:val="00053562"/>
    <w:rsid w:val="000536CF"/>
    <w:rsid w:val="00053A8C"/>
    <w:rsid w:val="00053BC4"/>
    <w:rsid w:val="00053BD4"/>
    <w:rsid w:val="00054110"/>
    <w:rsid w:val="000545E5"/>
    <w:rsid w:val="00054A7F"/>
    <w:rsid w:val="00055015"/>
    <w:rsid w:val="00055342"/>
    <w:rsid w:val="00057A4A"/>
    <w:rsid w:val="00057E47"/>
    <w:rsid w:val="00057EF1"/>
    <w:rsid w:val="00060CBB"/>
    <w:rsid w:val="00061B00"/>
    <w:rsid w:val="000620D0"/>
    <w:rsid w:val="00062C23"/>
    <w:rsid w:val="00063188"/>
    <w:rsid w:val="00063F11"/>
    <w:rsid w:val="00064156"/>
    <w:rsid w:val="0006455B"/>
    <w:rsid w:val="0006457A"/>
    <w:rsid w:val="000648FD"/>
    <w:rsid w:val="00064A6B"/>
    <w:rsid w:val="0006578F"/>
    <w:rsid w:val="0006777C"/>
    <w:rsid w:val="00070712"/>
    <w:rsid w:val="0007072C"/>
    <w:rsid w:val="00070867"/>
    <w:rsid w:val="00070980"/>
    <w:rsid w:val="000712E3"/>
    <w:rsid w:val="00071356"/>
    <w:rsid w:val="0007156A"/>
    <w:rsid w:val="00071792"/>
    <w:rsid w:val="00071816"/>
    <w:rsid w:val="00072402"/>
    <w:rsid w:val="000729C7"/>
    <w:rsid w:val="00072BFE"/>
    <w:rsid w:val="00072E10"/>
    <w:rsid w:val="000736EB"/>
    <w:rsid w:val="00073CBA"/>
    <w:rsid w:val="00075B3F"/>
    <w:rsid w:val="00075C05"/>
    <w:rsid w:val="000767CD"/>
    <w:rsid w:val="00076810"/>
    <w:rsid w:val="00076C6A"/>
    <w:rsid w:val="00076D6A"/>
    <w:rsid w:val="00077270"/>
    <w:rsid w:val="00077506"/>
    <w:rsid w:val="00077906"/>
    <w:rsid w:val="00077C9E"/>
    <w:rsid w:val="00082430"/>
    <w:rsid w:val="000826F6"/>
    <w:rsid w:val="00083033"/>
    <w:rsid w:val="0008314F"/>
    <w:rsid w:val="00083AAA"/>
    <w:rsid w:val="00083AF8"/>
    <w:rsid w:val="00083DE1"/>
    <w:rsid w:val="00084140"/>
    <w:rsid w:val="0008467E"/>
    <w:rsid w:val="00084A1C"/>
    <w:rsid w:val="00084AFC"/>
    <w:rsid w:val="00084CFE"/>
    <w:rsid w:val="00085268"/>
    <w:rsid w:val="0008542D"/>
    <w:rsid w:val="0008577A"/>
    <w:rsid w:val="00086628"/>
    <w:rsid w:val="000866D3"/>
    <w:rsid w:val="000868BA"/>
    <w:rsid w:val="000869D8"/>
    <w:rsid w:val="00086DBB"/>
    <w:rsid w:val="00086FF3"/>
    <w:rsid w:val="000872C4"/>
    <w:rsid w:val="000878EA"/>
    <w:rsid w:val="00087C25"/>
    <w:rsid w:val="0009004F"/>
    <w:rsid w:val="00090F95"/>
    <w:rsid w:val="00091213"/>
    <w:rsid w:val="000913C8"/>
    <w:rsid w:val="000920B6"/>
    <w:rsid w:val="000920F5"/>
    <w:rsid w:val="00092AA4"/>
    <w:rsid w:val="00093186"/>
    <w:rsid w:val="00095224"/>
    <w:rsid w:val="000955C1"/>
    <w:rsid w:val="00096270"/>
    <w:rsid w:val="000967C3"/>
    <w:rsid w:val="000972A7"/>
    <w:rsid w:val="00097961"/>
    <w:rsid w:val="00097A0C"/>
    <w:rsid w:val="00097E26"/>
    <w:rsid w:val="000A0229"/>
    <w:rsid w:val="000A0962"/>
    <w:rsid w:val="000A1124"/>
    <w:rsid w:val="000A17B3"/>
    <w:rsid w:val="000A1DF0"/>
    <w:rsid w:val="000A2003"/>
    <w:rsid w:val="000A22BA"/>
    <w:rsid w:val="000A2385"/>
    <w:rsid w:val="000A2592"/>
    <w:rsid w:val="000A2E5C"/>
    <w:rsid w:val="000A348A"/>
    <w:rsid w:val="000A365E"/>
    <w:rsid w:val="000A3D24"/>
    <w:rsid w:val="000A41E3"/>
    <w:rsid w:val="000A424E"/>
    <w:rsid w:val="000A4260"/>
    <w:rsid w:val="000A4437"/>
    <w:rsid w:val="000A4614"/>
    <w:rsid w:val="000A47B8"/>
    <w:rsid w:val="000A5ADB"/>
    <w:rsid w:val="000A5E45"/>
    <w:rsid w:val="000A6700"/>
    <w:rsid w:val="000A6833"/>
    <w:rsid w:val="000B1540"/>
    <w:rsid w:val="000B1BE1"/>
    <w:rsid w:val="000B1C9D"/>
    <w:rsid w:val="000B213D"/>
    <w:rsid w:val="000B239A"/>
    <w:rsid w:val="000B2D1A"/>
    <w:rsid w:val="000B309F"/>
    <w:rsid w:val="000B365C"/>
    <w:rsid w:val="000B4861"/>
    <w:rsid w:val="000B5068"/>
    <w:rsid w:val="000B68A8"/>
    <w:rsid w:val="000B72BF"/>
    <w:rsid w:val="000B7413"/>
    <w:rsid w:val="000B7618"/>
    <w:rsid w:val="000B7753"/>
    <w:rsid w:val="000B7954"/>
    <w:rsid w:val="000B7CB2"/>
    <w:rsid w:val="000C0382"/>
    <w:rsid w:val="000C09C9"/>
    <w:rsid w:val="000C0ADB"/>
    <w:rsid w:val="000C1460"/>
    <w:rsid w:val="000C28AE"/>
    <w:rsid w:val="000C2A47"/>
    <w:rsid w:val="000C34B4"/>
    <w:rsid w:val="000C3617"/>
    <w:rsid w:val="000C396D"/>
    <w:rsid w:val="000C3976"/>
    <w:rsid w:val="000C5140"/>
    <w:rsid w:val="000C5889"/>
    <w:rsid w:val="000C5F7A"/>
    <w:rsid w:val="000C6DE7"/>
    <w:rsid w:val="000C70B6"/>
    <w:rsid w:val="000C7B9A"/>
    <w:rsid w:val="000C7CDD"/>
    <w:rsid w:val="000D0293"/>
    <w:rsid w:val="000D0F8F"/>
    <w:rsid w:val="000D1F7A"/>
    <w:rsid w:val="000D2242"/>
    <w:rsid w:val="000D2E26"/>
    <w:rsid w:val="000D332D"/>
    <w:rsid w:val="000D3A23"/>
    <w:rsid w:val="000D4373"/>
    <w:rsid w:val="000D5277"/>
    <w:rsid w:val="000D5610"/>
    <w:rsid w:val="000D5731"/>
    <w:rsid w:val="000D5E9A"/>
    <w:rsid w:val="000D6165"/>
    <w:rsid w:val="000D66A2"/>
    <w:rsid w:val="000D6C26"/>
    <w:rsid w:val="000D782F"/>
    <w:rsid w:val="000E1825"/>
    <w:rsid w:val="000E188A"/>
    <w:rsid w:val="000E2C55"/>
    <w:rsid w:val="000E366C"/>
    <w:rsid w:val="000E3D58"/>
    <w:rsid w:val="000E3D5A"/>
    <w:rsid w:val="000E3DDA"/>
    <w:rsid w:val="000E48ED"/>
    <w:rsid w:val="000E5838"/>
    <w:rsid w:val="000E5F28"/>
    <w:rsid w:val="000E671E"/>
    <w:rsid w:val="000E6A1B"/>
    <w:rsid w:val="000E6E39"/>
    <w:rsid w:val="000E6F25"/>
    <w:rsid w:val="000E72EC"/>
    <w:rsid w:val="000F1184"/>
    <w:rsid w:val="000F23A1"/>
    <w:rsid w:val="000F2509"/>
    <w:rsid w:val="000F2604"/>
    <w:rsid w:val="000F3648"/>
    <w:rsid w:val="000F4467"/>
    <w:rsid w:val="000F449E"/>
    <w:rsid w:val="000F479F"/>
    <w:rsid w:val="000F4941"/>
    <w:rsid w:val="000F5918"/>
    <w:rsid w:val="000F5A29"/>
    <w:rsid w:val="000F6CAE"/>
    <w:rsid w:val="000F6D10"/>
    <w:rsid w:val="000F7B70"/>
    <w:rsid w:val="000F7C80"/>
    <w:rsid w:val="000F7DB0"/>
    <w:rsid w:val="000F7F6C"/>
    <w:rsid w:val="0010098A"/>
    <w:rsid w:val="00100DA8"/>
    <w:rsid w:val="00100E9D"/>
    <w:rsid w:val="00101538"/>
    <w:rsid w:val="00101598"/>
    <w:rsid w:val="0010170B"/>
    <w:rsid w:val="0010178C"/>
    <w:rsid w:val="00101CE7"/>
    <w:rsid w:val="00102093"/>
    <w:rsid w:val="001021F5"/>
    <w:rsid w:val="001028EB"/>
    <w:rsid w:val="00102FD0"/>
    <w:rsid w:val="00103363"/>
    <w:rsid w:val="0010337E"/>
    <w:rsid w:val="00104ADB"/>
    <w:rsid w:val="00104D4D"/>
    <w:rsid w:val="0010506D"/>
    <w:rsid w:val="00105408"/>
    <w:rsid w:val="001058AB"/>
    <w:rsid w:val="00106D25"/>
    <w:rsid w:val="001073BA"/>
    <w:rsid w:val="001075C6"/>
    <w:rsid w:val="00110305"/>
    <w:rsid w:val="001103F0"/>
    <w:rsid w:val="001106DD"/>
    <w:rsid w:val="00110F1A"/>
    <w:rsid w:val="0011115F"/>
    <w:rsid w:val="00111BB8"/>
    <w:rsid w:val="001122B7"/>
    <w:rsid w:val="00113C94"/>
    <w:rsid w:val="00113FD5"/>
    <w:rsid w:val="00114598"/>
    <w:rsid w:val="00114951"/>
    <w:rsid w:val="00114B1B"/>
    <w:rsid w:val="001151C6"/>
    <w:rsid w:val="0011596F"/>
    <w:rsid w:val="00116EB5"/>
    <w:rsid w:val="001204A7"/>
    <w:rsid w:val="00120536"/>
    <w:rsid w:val="00121104"/>
    <w:rsid w:val="0012189C"/>
    <w:rsid w:val="001218A2"/>
    <w:rsid w:val="00121922"/>
    <w:rsid w:val="00122425"/>
    <w:rsid w:val="00122A61"/>
    <w:rsid w:val="00122AB7"/>
    <w:rsid w:val="00123703"/>
    <w:rsid w:val="00123722"/>
    <w:rsid w:val="001243C3"/>
    <w:rsid w:val="001244C3"/>
    <w:rsid w:val="001248ED"/>
    <w:rsid w:val="00124A9E"/>
    <w:rsid w:val="00124BB5"/>
    <w:rsid w:val="00124DCA"/>
    <w:rsid w:val="00124E08"/>
    <w:rsid w:val="0012529B"/>
    <w:rsid w:val="0012535D"/>
    <w:rsid w:val="00125AF6"/>
    <w:rsid w:val="00125F5F"/>
    <w:rsid w:val="00126344"/>
    <w:rsid w:val="001275EB"/>
    <w:rsid w:val="0012789F"/>
    <w:rsid w:val="001300AF"/>
    <w:rsid w:val="00130892"/>
    <w:rsid w:val="00131FF3"/>
    <w:rsid w:val="00132C67"/>
    <w:rsid w:val="00132D5A"/>
    <w:rsid w:val="001332F9"/>
    <w:rsid w:val="00133846"/>
    <w:rsid w:val="001338EE"/>
    <w:rsid w:val="00133BAD"/>
    <w:rsid w:val="00133CF1"/>
    <w:rsid w:val="001350BC"/>
    <w:rsid w:val="00135217"/>
    <w:rsid w:val="001354D4"/>
    <w:rsid w:val="00135785"/>
    <w:rsid w:val="00136AB8"/>
    <w:rsid w:val="00136B59"/>
    <w:rsid w:val="00136F4F"/>
    <w:rsid w:val="00137041"/>
    <w:rsid w:val="00137F0E"/>
    <w:rsid w:val="00140336"/>
    <w:rsid w:val="00140D9C"/>
    <w:rsid w:val="001411AB"/>
    <w:rsid w:val="001419E5"/>
    <w:rsid w:val="0014246A"/>
    <w:rsid w:val="0014251D"/>
    <w:rsid w:val="001430CD"/>
    <w:rsid w:val="001437D7"/>
    <w:rsid w:val="001439FA"/>
    <w:rsid w:val="001440DF"/>
    <w:rsid w:val="00144214"/>
    <w:rsid w:val="001443A4"/>
    <w:rsid w:val="00144FA0"/>
    <w:rsid w:val="00145281"/>
    <w:rsid w:val="0014591A"/>
    <w:rsid w:val="00145C28"/>
    <w:rsid w:val="00145D93"/>
    <w:rsid w:val="00146BF5"/>
    <w:rsid w:val="001474A7"/>
    <w:rsid w:val="001475EC"/>
    <w:rsid w:val="00150E0F"/>
    <w:rsid w:val="00151475"/>
    <w:rsid w:val="00151F6E"/>
    <w:rsid w:val="0015237C"/>
    <w:rsid w:val="00152404"/>
    <w:rsid w:val="00152547"/>
    <w:rsid w:val="00152D4F"/>
    <w:rsid w:val="001532C4"/>
    <w:rsid w:val="001534A2"/>
    <w:rsid w:val="001536D1"/>
    <w:rsid w:val="001537CC"/>
    <w:rsid w:val="00153C60"/>
    <w:rsid w:val="00155A73"/>
    <w:rsid w:val="00155BD9"/>
    <w:rsid w:val="001564C7"/>
    <w:rsid w:val="00156B45"/>
    <w:rsid w:val="00156C49"/>
    <w:rsid w:val="00157F78"/>
    <w:rsid w:val="00160197"/>
    <w:rsid w:val="00160280"/>
    <w:rsid w:val="001602B3"/>
    <w:rsid w:val="00160795"/>
    <w:rsid w:val="00160D8B"/>
    <w:rsid w:val="001615CA"/>
    <w:rsid w:val="0016237D"/>
    <w:rsid w:val="001624A7"/>
    <w:rsid w:val="00162571"/>
    <w:rsid w:val="00162769"/>
    <w:rsid w:val="001636C1"/>
    <w:rsid w:val="00163AE1"/>
    <w:rsid w:val="001645CF"/>
    <w:rsid w:val="00165511"/>
    <w:rsid w:val="00165EC6"/>
    <w:rsid w:val="001661F4"/>
    <w:rsid w:val="001662FF"/>
    <w:rsid w:val="00166575"/>
    <w:rsid w:val="001674C9"/>
    <w:rsid w:val="001677A5"/>
    <w:rsid w:val="0016781F"/>
    <w:rsid w:val="00167D45"/>
    <w:rsid w:val="001706ED"/>
    <w:rsid w:val="00170844"/>
    <w:rsid w:val="00171168"/>
    <w:rsid w:val="0017132B"/>
    <w:rsid w:val="0017150E"/>
    <w:rsid w:val="00171601"/>
    <w:rsid w:val="001717C2"/>
    <w:rsid w:val="00171C2C"/>
    <w:rsid w:val="00172090"/>
    <w:rsid w:val="001723F1"/>
    <w:rsid w:val="0017248D"/>
    <w:rsid w:val="0017260C"/>
    <w:rsid w:val="00172745"/>
    <w:rsid w:val="0017448F"/>
    <w:rsid w:val="0017509A"/>
    <w:rsid w:val="00175642"/>
    <w:rsid w:val="00175644"/>
    <w:rsid w:val="00176100"/>
    <w:rsid w:val="00176741"/>
    <w:rsid w:val="00176B98"/>
    <w:rsid w:val="00176C4C"/>
    <w:rsid w:val="00176CCE"/>
    <w:rsid w:val="0017715C"/>
    <w:rsid w:val="00177573"/>
    <w:rsid w:val="001800EE"/>
    <w:rsid w:val="001804FB"/>
    <w:rsid w:val="001828CF"/>
    <w:rsid w:val="00182BFE"/>
    <w:rsid w:val="00183206"/>
    <w:rsid w:val="00184072"/>
    <w:rsid w:val="001847FF"/>
    <w:rsid w:val="00184B8C"/>
    <w:rsid w:val="00185156"/>
    <w:rsid w:val="00185379"/>
    <w:rsid w:val="00185523"/>
    <w:rsid w:val="001859F9"/>
    <w:rsid w:val="00185EFE"/>
    <w:rsid w:val="0018624E"/>
    <w:rsid w:val="00186266"/>
    <w:rsid w:val="00187544"/>
    <w:rsid w:val="00187930"/>
    <w:rsid w:val="00187A76"/>
    <w:rsid w:val="00187ECA"/>
    <w:rsid w:val="0019038A"/>
    <w:rsid w:val="001916CB"/>
    <w:rsid w:val="00191A72"/>
    <w:rsid w:val="00192492"/>
    <w:rsid w:val="001929ED"/>
    <w:rsid w:val="00192D05"/>
    <w:rsid w:val="00193A95"/>
    <w:rsid w:val="00193D1A"/>
    <w:rsid w:val="00194EFA"/>
    <w:rsid w:val="001952E2"/>
    <w:rsid w:val="001952FA"/>
    <w:rsid w:val="0019531C"/>
    <w:rsid w:val="00195685"/>
    <w:rsid w:val="001956A5"/>
    <w:rsid w:val="00195875"/>
    <w:rsid w:val="00196188"/>
    <w:rsid w:val="00196644"/>
    <w:rsid w:val="00196CD4"/>
    <w:rsid w:val="00196E2C"/>
    <w:rsid w:val="0019767C"/>
    <w:rsid w:val="00197AD3"/>
    <w:rsid w:val="00197C2E"/>
    <w:rsid w:val="001A04DE"/>
    <w:rsid w:val="001A0CEE"/>
    <w:rsid w:val="001A10F7"/>
    <w:rsid w:val="001A1846"/>
    <w:rsid w:val="001A2160"/>
    <w:rsid w:val="001A24D4"/>
    <w:rsid w:val="001A29BC"/>
    <w:rsid w:val="001A32DB"/>
    <w:rsid w:val="001A4548"/>
    <w:rsid w:val="001A4625"/>
    <w:rsid w:val="001A4874"/>
    <w:rsid w:val="001A49C7"/>
    <w:rsid w:val="001A4D2D"/>
    <w:rsid w:val="001A53F0"/>
    <w:rsid w:val="001A5563"/>
    <w:rsid w:val="001A6156"/>
    <w:rsid w:val="001A6649"/>
    <w:rsid w:val="001A6D89"/>
    <w:rsid w:val="001A72F6"/>
    <w:rsid w:val="001A799F"/>
    <w:rsid w:val="001B043A"/>
    <w:rsid w:val="001B0F3F"/>
    <w:rsid w:val="001B15AF"/>
    <w:rsid w:val="001B167F"/>
    <w:rsid w:val="001B1F79"/>
    <w:rsid w:val="001B22FD"/>
    <w:rsid w:val="001B2834"/>
    <w:rsid w:val="001B2F36"/>
    <w:rsid w:val="001B3F46"/>
    <w:rsid w:val="001B4B48"/>
    <w:rsid w:val="001B5370"/>
    <w:rsid w:val="001B570B"/>
    <w:rsid w:val="001B5935"/>
    <w:rsid w:val="001B5ED7"/>
    <w:rsid w:val="001B6194"/>
    <w:rsid w:val="001B62DF"/>
    <w:rsid w:val="001B67AB"/>
    <w:rsid w:val="001B6BB9"/>
    <w:rsid w:val="001B73D3"/>
    <w:rsid w:val="001B7A9C"/>
    <w:rsid w:val="001C0981"/>
    <w:rsid w:val="001C32DA"/>
    <w:rsid w:val="001C38B8"/>
    <w:rsid w:val="001C3D4C"/>
    <w:rsid w:val="001C4166"/>
    <w:rsid w:val="001C4EB0"/>
    <w:rsid w:val="001C544F"/>
    <w:rsid w:val="001C5775"/>
    <w:rsid w:val="001C5853"/>
    <w:rsid w:val="001C6F4B"/>
    <w:rsid w:val="001C6FAA"/>
    <w:rsid w:val="001C715E"/>
    <w:rsid w:val="001C7425"/>
    <w:rsid w:val="001C7650"/>
    <w:rsid w:val="001C7FE3"/>
    <w:rsid w:val="001D0391"/>
    <w:rsid w:val="001D03AF"/>
    <w:rsid w:val="001D0566"/>
    <w:rsid w:val="001D0AB1"/>
    <w:rsid w:val="001D0FEB"/>
    <w:rsid w:val="001D1125"/>
    <w:rsid w:val="001D1C6D"/>
    <w:rsid w:val="001D2006"/>
    <w:rsid w:val="001D210F"/>
    <w:rsid w:val="001D2E42"/>
    <w:rsid w:val="001D32E9"/>
    <w:rsid w:val="001D3DE9"/>
    <w:rsid w:val="001D3E0F"/>
    <w:rsid w:val="001D403E"/>
    <w:rsid w:val="001D41FB"/>
    <w:rsid w:val="001D4CC3"/>
    <w:rsid w:val="001D4F21"/>
    <w:rsid w:val="001D5E57"/>
    <w:rsid w:val="001D6DCD"/>
    <w:rsid w:val="001D6E12"/>
    <w:rsid w:val="001D79AC"/>
    <w:rsid w:val="001E0378"/>
    <w:rsid w:val="001E0EC3"/>
    <w:rsid w:val="001E109D"/>
    <w:rsid w:val="001E181C"/>
    <w:rsid w:val="001E1C89"/>
    <w:rsid w:val="001E2784"/>
    <w:rsid w:val="001E283F"/>
    <w:rsid w:val="001E2934"/>
    <w:rsid w:val="001E2B9A"/>
    <w:rsid w:val="001E2CD7"/>
    <w:rsid w:val="001E39DC"/>
    <w:rsid w:val="001E407A"/>
    <w:rsid w:val="001E4825"/>
    <w:rsid w:val="001E4D91"/>
    <w:rsid w:val="001E4E36"/>
    <w:rsid w:val="001E4EB6"/>
    <w:rsid w:val="001E4F84"/>
    <w:rsid w:val="001E4FF6"/>
    <w:rsid w:val="001E50CB"/>
    <w:rsid w:val="001E5CF0"/>
    <w:rsid w:val="001E6347"/>
    <w:rsid w:val="001E75A0"/>
    <w:rsid w:val="001E7C57"/>
    <w:rsid w:val="001E7FC0"/>
    <w:rsid w:val="001F1571"/>
    <w:rsid w:val="001F1DF7"/>
    <w:rsid w:val="001F214C"/>
    <w:rsid w:val="001F2625"/>
    <w:rsid w:val="001F3D5B"/>
    <w:rsid w:val="001F4DD6"/>
    <w:rsid w:val="001F5171"/>
    <w:rsid w:val="001F5632"/>
    <w:rsid w:val="001F5918"/>
    <w:rsid w:val="001F5CE9"/>
    <w:rsid w:val="001F6658"/>
    <w:rsid w:val="001F6B2A"/>
    <w:rsid w:val="001F77A1"/>
    <w:rsid w:val="0020011F"/>
    <w:rsid w:val="00200164"/>
    <w:rsid w:val="00201490"/>
    <w:rsid w:val="00201555"/>
    <w:rsid w:val="00201744"/>
    <w:rsid w:val="00201937"/>
    <w:rsid w:val="00201DD6"/>
    <w:rsid w:val="00201E30"/>
    <w:rsid w:val="002028E6"/>
    <w:rsid w:val="0020334A"/>
    <w:rsid w:val="00204292"/>
    <w:rsid w:val="00204EA6"/>
    <w:rsid w:val="00205CE7"/>
    <w:rsid w:val="00205DA9"/>
    <w:rsid w:val="00206EFB"/>
    <w:rsid w:val="002074DD"/>
    <w:rsid w:val="00207506"/>
    <w:rsid w:val="00207F38"/>
    <w:rsid w:val="0021134B"/>
    <w:rsid w:val="00211ED4"/>
    <w:rsid w:val="002123BC"/>
    <w:rsid w:val="00212DBC"/>
    <w:rsid w:val="00214D28"/>
    <w:rsid w:val="00214FBF"/>
    <w:rsid w:val="002158E0"/>
    <w:rsid w:val="00215940"/>
    <w:rsid w:val="002167E2"/>
    <w:rsid w:val="0021763C"/>
    <w:rsid w:val="00217CC9"/>
    <w:rsid w:val="002201FA"/>
    <w:rsid w:val="002208FD"/>
    <w:rsid w:val="00220B6C"/>
    <w:rsid w:val="002213F9"/>
    <w:rsid w:val="00222174"/>
    <w:rsid w:val="00223696"/>
    <w:rsid w:val="00223A95"/>
    <w:rsid w:val="002240CB"/>
    <w:rsid w:val="00224994"/>
    <w:rsid w:val="00224C83"/>
    <w:rsid w:val="00225579"/>
    <w:rsid w:val="00225B23"/>
    <w:rsid w:val="00226181"/>
    <w:rsid w:val="00226229"/>
    <w:rsid w:val="00226DE1"/>
    <w:rsid w:val="00227EAD"/>
    <w:rsid w:val="002303A2"/>
    <w:rsid w:val="0023057C"/>
    <w:rsid w:val="00230CF3"/>
    <w:rsid w:val="00230DAF"/>
    <w:rsid w:val="002310D5"/>
    <w:rsid w:val="002327BF"/>
    <w:rsid w:val="00232975"/>
    <w:rsid w:val="00232D94"/>
    <w:rsid w:val="00232EC7"/>
    <w:rsid w:val="00232F8C"/>
    <w:rsid w:val="002331C0"/>
    <w:rsid w:val="002347C7"/>
    <w:rsid w:val="00234E1D"/>
    <w:rsid w:val="00235204"/>
    <w:rsid w:val="00235987"/>
    <w:rsid w:val="00235DE1"/>
    <w:rsid w:val="0023603D"/>
    <w:rsid w:val="00237028"/>
    <w:rsid w:val="002401CF"/>
    <w:rsid w:val="0024029D"/>
    <w:rsid w:val="002411E0"/>
    <w:rsid w:val="00241446"/>
    <w:rsid w:val="00241C7F"/>
    <w:rsid w:val="00242332"/>
    <w:rsid w:val="00242424"/>
    <w:rsid w:val="00242671"/>
    <w:rsid w:val="002427F6"/>
    <w:rsid w:val="002429A0"/>
    <w:rsid w:val="00242C3A"/>
    <w:rsid w:val="00242CBE"/>
    <w:rsid w:val="00243023"/>
    <w:rsid w:val="00243457"/>
    <w:rsid w:val="00244529"/>
    <w:rsid w:val="00244B8E"/>
    <w:rsid w:val="00244ED8"/>
    <w:rsid w:val="00245862"/>
    <w:rsid w:val="00245BAF"/>
    <w:rsid w:val="00245E54"/>
    <w:rsid w:val="00246701"/>
    <w:rsid w:val="00246742"/>
    <w:rsid w:val="00246E86"/>
    <w:rsid w:val="00247256"/>
    <w:rsid w:val="002474D2"/>
    <w:rsid w:val="00247B85"/>
    <w:rsid w:val="00250798"/>
    <w:rsid w:val="00250823"/>
    <w:rsid w:val="00250BC0"/>
    <w:rsid w:val="00250D26"/>
    <w:rsid w:val="00250E63"/>
    <w:rsid w:val="00251216"/>
    <w:rsid w:val="002515D5"/>
    <w:rsid w:val="00251A3C"/>
    <w:rsid w:val="00251E5A"/>
    <w:rsid w:val="0025231B"/>
    <w:rsid w:val="00252682"/>
    <w:rsid w:val="00252B9E"/>
    <w:rsid w:val="0025317E"/>
    <w:rsid w:val="00253EB0"/>
    <w:rsid w:val="00254057"/>
    <w:rsid w:val="00254A29"/>
    <w:rsid w:val="00255247"/>
    <w:rsid w:val="00255389"/>
    <w:rsid w:val="00255855"/>
    <w:rsid w:val="00256C05"/>
    <w:rsid w:val="0025750E"/>
    <w:rsid w:val="00257D36"/>
    <w:rsid w:val="0026091A"/>
    <w:rsid w:val="00261F9A"/>
    <w:rsid w:val="0026237D"/>
    <w:rsid w:val="00263314"/>
    <w:rsid w:val="0026410E"/>
    <w:rsid w:val="002642AE"/>
    <w:rsid w:val="002644DB"/>
    <w:rsid w:val="00264786"/>
    <w:rsid w:val="00264BBC"/>
    <w:rsid w:val="00264D9E"/>
    <w:rsid w:val="002652DD"/>
    <w:rsid w:val="00265609"/>
    <w:rsid w:val="002658C3"/>
    <w:rsid w:val="00265B7A"/>
    <w:rsid w:val="0026689F"/>
    <w:rsid w:val="00270409"/>
    <w:rsid w:val="00271049"/>
    <w:rsid w:val="00271079"/>
    <w:rsid w:val="002711EB"/>
    <w:rsid w:val="00271A94"/>
    <w:rsid w:val="00271B9D"/>
    <w:rsid w:val="00271BBB"/>
    <w:rsid w:val="0027214A"/>
    <w:rsid w:val="00273E88"/>
    <w:rsid w:val="002740B6"/>
    <w:rsid w:val="002747CD"/>
    <w:rsid w:val="00275427"/>
    <w:rsid w:val="00275B2D"/>
    <w:rsid w:val="00276732"/>
    <w:rsid w:val="00276A2F"/>
    <w:rsid w:val="00276A47"/>
    <w:rsid w:val="00276AAE"/>
    <w:rsid w:val="00276DD7"/>
    <w:rsid w:val="002774A5"/>
    <w:rsid w:val="0027760A"/>
    <w:rsid w:val="00277ABF"/>
    <w:rsid w:val="00277B65"/>
    <w:rsid w:val="00280075"/>
    <w:rsid w:val="0028098C"/>
    <w:rsid w:val="00280D24"/>
    <w:rsid w:val="00281885"/>
    <w:rsid w:val="0028208B"/>
    <w:rsid w:val="0028231F"/>
    <w:rsid w:val="002827D9"/>
    <w:rsid w:val="00282A8C"/>
    <w:rsid w:val="00282CE8"/>
    <w:rsid w:val="00282D73"/>
    <w:rsid w:val="002833A8"/>
    <w:rsid w:val="002837A6"/>
    <w:rsid w:val="00283B37"/>
    <w:rsid w:val="00283E40"/>
    <w:rsid w:val="00284AD4"/>
    <w:rsid w:val="00284CD8"/>
    <w:rsid w:val="00284F64"/>
    <w:rsid w:val="00286464"/>
    <w:rsid w:val="00286904"/>
    <w:rsid w:val="002869AE"/>
    <w:rsid w:val="00286DD0"/>
    <w:rsid w:val="00287007"/>
    <w:rsid w:val="00287638"/>
    <w:rsid w:val="00290713"/>
    <w:rsid w:val="0029075B"/>
    <w:rsid w:val="00291633"/>
    <w:rsid w:val="00291778"/>
    <w:rsid w:val="00291D82"/>
    <w:rsid w:val="00291FD1"/>
    <w:rsid w:val="002928EA"/>
    <w:rsid w:val="00292D95"/>
    <w:rsid w:val="00293144"/>
    <w:rsid w:val="00293345"/>
    <w:rsid w:val="00293F80"/>
    <w:rsid w:val="002948F8"/>
    <w:rsid w:val="00294B14"/>
    <w:rsid w:val="00295073"/>
    <w:rsid w:val="0029528B"/>
    <w:rsid w:val="00295565"/>
    <w:rsid w:val="00295762"/>
    <w:rsid w:val="00295AF5"/>
    <w:rsid w:val="00295F82"/>
    <w:rsid w:val="002971AF"/>
    <w:rsid w:val="002972D9"/>
    <w:rsid w:val="002974EA"/>
    <w:rsid w:val="00297B89"/>
    <w:rsid w:val="002A019F"/>
    <w:rsid w:val="002A053E"/>
    <w:rsid w:val="002A07C8"/>
    <w:rsid w:val="002A09D8"/>
    <w:rsid w:val="002A1B91"/>
    <w:rsid w:val="002A25E4"/>
    <w:rsid w:val="002A273A"/>
    <w:rsid w:val="002A2EF5"/>
    <w:rsid w:val="002A3A8B"/>
    <w:rsid w:val="002A3E55"/>
    <w:rsid w:val="002A3ED3"/>
    <w:rsid w:val="002A3ED5"/>
    <w:rsid w:val="002A49E3"/>
    <w:rsid w:val="002A49E7"/>
    <w:rsid w:val="002A4BBA"/>
    <w:rsid w:val="002A55BF"/>
    <w:rsid w:val="002A58B7"/>
    <w:rsid w:val="002A5C9C"/>
    <w:rsid w:val="002A5FBD"/>
    <w:rsid w:val="002A5FF9"/>
    <w:rsid w:val="002A603D"/>
    <w:rsid w:val="002A6B30"/>
    <w:rsid w:val="002A6E4F"/>
    <w:rsid w:val="002A6F7D"/>
    <w:rsid w:val="002A7365"/>
    <w:rsid w:val="002A772F"/>
    <w:rsid w:val="002B031E"/>
    <w:rsid w:val="002B0D2C"/>
    <w:rsid w:val="002B17C1"/>
    <w:rsid w:val="002B1875"/>
    <w:rsid w:val="002B19C2"/>
    <w:rsid w:val="002B247D"/>
    <w:rsid w:val="002B26F2"/>
    <w:rsid w:val="002B3444"/>
    <w:rsid w:val="002B3691"/>
    <w:rsid w:val="002B4097"/>
    <w:rsid w:val="002B41C4"/>
    <w:rsid w:val="002B4DDA"/>
    <w:rsid w:val="002B4F7A"/>
    <w:rsid w:val="002B58D1"/>
    <w:rsid w:val="002B5B32"/>
    <w:rsid w:val="002B6F85"/>
    <w:rsid w:val="002B6FBA"/>
    <w:rsid w:val="002B77E4"/>
    <w:rsid w:val="002B7B4C"/>
    <w:rsid w:val="002C0403"/>
    <w:rsid w:val="002C0A27"/>
    <w:rsid w:val="002C170D"/>
    <w:rsid w:val="002C174E"/>
    <w:rsid w:val="002C1C45"/>
    <w:rsid w:val="002C1E04"/>
    <w:rsid w:val="002C294B"/>
    <w:rsid w:val="002C2C6F"/>
    <w:rsid w:val="002C32A9"/>
    <w:rsid w:val="002C367D"/>
    <w:rsid w:val="002C5009"/>
    <w:rsid w:val="002C5920"/>
    <w:rsid w:val="002C7F32"/>
    <w:rsid w:val="002D016D"/>
    <w:rsid w:val="002D1403"/>
    <w:rsid w:val="002D1D84"/>
    <w:rsid w:val="002D1E9D"/>
    <w:rsid w:val="002D2038"/>
    <w:rsid w:val="002D26CD"/>
    <w:rsid w:val="002D2B62"/>
    <w:rsid w:val="002D2C2D"/>
    <w:rsid w:val="002D2E8C"/>
    <w:rsid w:val="002D44C0"/>
    <w:rsid w:val="002D46F7"/>
    <w:rsid w:val="002D5575"/>
    <w:rsid w:val="002D589A"/>
    <w:rsid w:val="002D5B52"/>
    <w:rsid w:val="002D5B6B"/>
    <w:rsid w:val="002D5D0C"/>
    <w:rsid w:val="002D5E3A"/>
    <w:rsid w:val="002D5E52"/>
    <w:rsid w:val="002D5F53"/>
    <w:rsid w:val="002D6663"/>
    <w:rsid w:val="002D6928"/>
    <w:rsid w:val="002D6AF0"/>
    <w:rsid w:val="002D7037"/>
    <w:rsid w:val="002D7046"/>
    <w:rsid w:val="002D7163"/>
    <w:rsid w:val="002D7C6D"/>
    <w:rsid w:val="002D7F2A"/>
    <w:rsid w:val="002E095A"/>
    <w:rsid w:val="002E0C23"/>
    <w:rsid w:val="002E0FB4"/>
    <w:rsid w:val="002E2243"/>
    <w:rsid w:val="002E2EED"/>
    <w:rsid w:val="002E3577"/>
    <w:rsid w:val="002E3A04"/>
    <w:rsid w:val="002E3C02"/>
    <w:rsid w:val="002E54DE"/>
    <w:rsid w:val="002E5AE1"/>
    <w:rsid w:val="002E5E22"/>
    <w:rsid w:val="002E5E9D"/>
    <w:rsid w:val="002E5FEF"/>
    <w:rsid w:val="002E6770"/>
    <w:rsid w:val="002E6E2F"/>
    <w:rsid w:val="002E75A9"/>
    <w:rsid w:val="002E79FF"/>
    <w:rsid w:val="002F10C4"/>
    <w:rsid w:val="002F23CC"/>
    <w:rsid w:val="002F2D9E"/>
    <w:rsid w:val="002F3118"/>
    <w:rsid w:val="002F376D"/>
    <w:rsid w:val="002F3BD2"/>
    <w:rsid w:val="002F3C40"/>
    <w:rsid w:val="002F3F67"/>
    <w:rsid w:val="002F3F6F"/>
    <w:rsid w:val="002F44AA"/>
    <w:rsid w:val="002F4BE1"/>
    <w:rsid w:val="002F53CE"/>
    <w:rsid w:val="002F567A"/>
    <w:rsid w:val="002F6239"/>
    <w:rsid w:val="002F6F82"/>
    <w:rsid w:val="002F7178"/>
    <w:rsid w:val="003001F7"/>
    <w:rsid w:val="00301084"/>
    <w:rsid w:val="003013FA"/>
    <w:rsid w:val="00302C2C"/>
    <w:rsid w:val="00302FF0"/>
    <w:rsid w:val="0030307B"/>
    <w:rsid w:val="003038C4"/>
    <w:rsid w:val="00303F55"/>
    <w:rsid w:val="00303FD1"/>
    <w:rsid w:val="00304757"/>
    <w:rsid w:val="003048FE"/>
    <w:rsid w:val="003054F6"/>
    <w:rsid w:val="00305557"/>
    <w:rsid w:val="0030555F"/>
    <w:rsid w:val="00305DD6"/>
    <w:rsid w:val="0030674D"/>
    <w:rsid w:val="00306855"/>
    <w:rsid w:val="00306C49"/>
    <w:rsid w:val="0030777C"/>
    <w:rsid w:val="003079B8"/>
    <w:rsid w:val="00307F61"/>
    <w:rsid w:val="00310128"/>
    <w:rsid w:val="00311455"/>
    <w:rsid w:val="0031146B"/>
    <w:rsid w:val="003115D9"/>
    <w:rsid w:val="00311C04"/>
    <w:rsid w:val="00311CE9"/>
    <w:rsid w:val="003125C6"/>
    <w:rsid w:val="003127D0"/>
    <w:rsid w:val="00312AB5"/>
    <w:rsid w:val="00312B99"/>
    <w:rsid w:val="00312F7A"/>
    <w:rsid w:val="00313122"/>
    <w:rsid w:val="0031365B"/>
    <w:rsid w:val="0031394B"/>
    <w:rsid w:val="003139A3"/>
    <w:rsid w:val="00313AAE"/>
    <w:rsid w:val="00314AF0"/>
    <w:rsid w:val="00314EAD"/>
    <w:rsid w:val="00315244"/>
    <w:rsid w:val="00315525"/>
    <w:rsid w:val="00315869"/>
    <w:rsid w:val="00315C81"/>
    <w:rsid w:val="00315D07"/>
    <w:rsid w:val="00316826"/>
    <w:rsid w:val="003169BA"/>
    <w:rsid w:val="00316EC8"/>
    <w:rsid w:val="00317485"/>
    <w:rsid w:val="00317DA5"/>
    <w:rsid w:val="00317E6A"/>
    <w:rsid w:val="00320286"/>
    <w:rsid w:val="0032030C"/>
    <w:rsid w:val="003208A9"/>
    <w:rsid w:val="00320C43"/>
    <w:rsid w:val="00321C0C"/>
    <w:rsid w:val="00321C9C"/>
    <w:rsid w:val="00321D2B"/>
    <w:rsid w:val="003224F1"/>
    <w:rsid w:val="00323194"/>
    <w:rsid w:val="003232AA"/>
    <w:rsid w:val="00323666"/>
    <w:rsid w:val="003237D2"/>
    <w:rsid w:val="00323927"/>
    <w:rsid w:val="003240AB"/>
    <w:rsid w:val="00324AEA"/>
    <w:rsid w:val="00324EA1"/>
    <w:rsid w:val="00325927"/>
    <w:rsid w:val="00325C63"/>
    <w:rsid w:val="003268BA"/>
    <w:rsid w:val="00326B15"/>
    <w:rsid w:val="003278A1"/>
    <w:rsid w:val="003278A3"/>
    <w:rsid w:val="00327ABE"/>
    <w:rsid w:val="003300AF"/>
    <w:rsid w:val="0033045B"/>
    <w:rsid w:val="003306CD"/>
    <w:rsid w:val="00330BED"/>
    <w:rsid w:val="00331519"/>
    <w:rsid w:val="00331784"/>
    <w:rsid w:val="003328F1"/>
    <w:rsid w:val="00333117"/>
    <w:rsid w:val="003340A5"/>
    <w:rsid w:val="00334FC7"/>
    <w:rsid w:val="0033637B"/>
    <w:rsid w:val="00336787"/>
    <w:rsid w:val="00336A7E"/>
    <w:rsid w:val="00337687"/>
    <w:rsid w:val="0033774A"/>
    <w:rsid w:val="00340230"/>
    <w:rsid w:val="0034025B"/>
    <w:rsid w:val="00340375"/>
    <w:rsid w:val="00340722"/>
    <w:rsid w:val="003409F6"/>
    <w:rsid w:val="00340E52"/>
    <w:rsid w:val="00340FFA"/>
    <w:rsid w:val="00341607"/>
    <w:rsid w:val="003417BB"/>
    <w:rsid w:val="00341B2C"/>
    <w:rsid w:val="00342BF5"/>
    <w:rsid w:val="00343099"/>
    <w:rsid w:val="0034328A"/>
    <w:rsid w:val="003432AC"/>
    <w:rsid w:val="003432C4"/>
    <w:rsid w:val="003438BF"/>
    <w:rsid w:val="003438D4"/>
    <w:rsid w:val="00343B97"/>
    <w:rsid w:val="00343C3E"/>
    <w:rsid w:val="00343EC0"/>
    <w:rsid w:val="003447FF"/>
    <w:rsid w:val="00345430"/>
    <w:rsid w:val="003455CB"/>
    <w:rsid w:val="0034560B"/>
    <w:rsid w:val="00345F35"/>
    <w:rsid w:val="0034727C"/>
    <w:rsid w:val="00347F1A"/>
    <w:rsid w:val="00350EC0"/>
    <w:rsid w:val="00351F18"/>
    <w:rsid w:val="00352F63"/>
    <w:rsid w:val="0035330A"/>
    <w:rsid w:val="00353628"/>
    <w:rsid w:val="0035393E"/>
    <w:rsid w:val="00353AE0"/>
    <w:rsid w:val="003546E2"/>
    <w:rsid w:val="0035488C"/>
    <w:rsid w:val="003548E7"/>
    <w:rsid w:val="0035513F"/>
    <w:rsid w:val="0035637B"/>
    <w:rsid w:val="00356391"/>
    <w:rsid w:val="003564EA"/>
    <w:rsid w:val="003566F1"/>
    <w:rsid w:val="003570DC"/>
    <w:rsid w:val="003577C9"/>
    <w:rsid w:val="003578F5"/>
    <w:rsid w:val="00357F10"/>
    <w:rsid w:val="0036086A"/>
    <w:rsid w:val="00361342"/>
    <w:rsid w:val="00361E7B"/>
    <w:rsid w:val="00361EC8"/>
    <w:rsid w:val="00362317"/>
    <w:rsid w:val="00362AC5"/>
    <w:rsid w:val="00362B1D"/>
    <w:rsid w:val="00363C10"/>
    <w:rsid w:val="00363F02"/>
    <w:rsid w:val="003642E9"/>
    <w:rsid w:val="00364D9E"/>
    <w:rsid w:val="00364F4A"/>
    <w:rsid w:val="00364F5E"/>
    <w:rsid w:val="00364FBB"/>
    <w:rsid w:val="00365380"/>
    <w:rsid w:val="00365E11"/>
    <w:rsid w:val="00365F19"/>
    <w:rsid w:val="003661BB"/>
    <w:rsid w:val="0036637D"/>
    <w:rsid w:val="0036667F"/>
    <w:rsid w:val="0036767D"/>
    <w:rsid w:val="0036781B"/>
    <w:rsid w:val="003678B3"/>
    <w:rsid w:val="00367B02"/>
    <w:rsid w:val="00367DA1"/>
    <w:rsid w:val="00370BF2"/>
    <w:rsid w:val="00370CAE"/>
    <w:rsid w:val="0037168D"/>
    <w:rsid w:val="003720A7"/>
    <w:rsid w:val="0037288B"/>
    <w:rsid w:val="00372F9D"/>
    <w:rsid w:val="00373083"/>
    <w:rsid w:val="003731C9"/>
    <w:rsid w:val="00373C73"/>
    <w:rsid w:val="00374269"/>
    <w:rsid w:val="00374CA8"/>
    <w:rsid w:val="00374ECA"/>
    <w:rsid w:val="00375A10"/>
    <w:rsid w:val="00375A79"/>
    <w:rsid w:val="00375D46"/>
    <w:rsid w:val="00376BB0"/>
    <w:rsid w:val="00376CD6"/>
    <w:rsid w:val="00380612"/>
    <w:rsid w:val="003806DD"/>
    <w:rsid w:val="0038177C"/>
    <w:rsid w:val="0038187F"/>
    <w:rsid w:val="00382027"/>
    <w:rsid w:val="0038211D"/>
    <w:rsid w:val="003821DB"/>
    <w:rsid w:val="0038346F"/>
    <w:rsid w:val="003841E7"/>
    <w:rsid w:val="0038431B"/>
    <w:rsid w:val="00384D17"/>
    <w:rsid w:val="003859F8"/>
    <w:rsid w:val="00386855"/>
    <w:rsid w:val="00386A8A"/>
    <w:rsid w:val="00386F51"/>
    <w:rsid w:val="003875E6"/>
    <w:rsid w:val="00390639"/>
    <w:rsid w:val="00391C4A"/>
    <w:rsid w:val="00391FC2"/>
    <w:rsid w:val="003926D2"/>
    <w:rsid w:val="00394418"/>
    <w:rsid w:val="00394466"/>
    <w:rsid w:val="003944E7"/>
    <w:rsid w:val="00394649"/>
    <w:rsid w:val="00394937"/>
    <w:rsid w:val="00394A2F"/>
    <w:rsid w:val="0039538C"/>
    <w:rsid w:val="003957ED"/>
    <w:rsid w:val="00395E4C"/>
    <w:rsid w:val="003966BB"/>
    <w:rsid w:val="003966C4"/>
    <w:rsid w:val="00396CE3"/>
    <w:rsid w:val="00396F31"/>
    <w:rsid w:val="00397D53"/>
    <w:rsid w:val="003A0243"/>
    <w:rsid w:val="003A1C34"/>
    <w:rsid w:val="003A1DB9"/>
    <w:rsid w:val="003A1EB0"/>
    <w:rsid w:val="003A1FB2"/>
    <w:rsid w:val="003A30FF"/>
    <w:rsid w:val="003A36A3"/>
    <w:rsid w:val="003A3F27"/>
    <w:rsid w:val="003A405E"/>
    <w:rsid w:val="003A447A"/>
    <w:rsid w:val="003A50D6"/>
    <w:rsid w:val="003A5678"/>
    <w:rsid w:val="003A5E67"/>
    <w:rsid w:val="003A65B1"/>
    <w:rsid w:val="003A6B01"/>
    <w:rsid w:val="003A6D93"/>
    <w:rsid w:val="003A7B34"/>
    <w:rsid w:val="003B08CE"/>
    <w:rsid w:val="003B09E5"/>
    <w:rsid w:val="003B0B0E"/>
    <w:rsid w:val="003B0FB0"/>
    <w:rsid w:val="003B1028"/>
    <w:rsid w:val="003B12E1"/>
    <w:rsid w:val="003B19F6"/>
    <w:rsid w:val="003B1EFE"/>
    <w:rsid w:val="003B2BEC"/>
    <w:rsid w:val="003B2C45"/>
    <w:rsid w:val="003B3E11"/>
    <w:rsid w:val="003B5AE6"/>
    <w:rsid w:val="003B5C9A"/>
    <w:rsid w:val="003B618C"/>
    <w:rsid w:val="003B66EB"/>
    <w:rsid w:val="003B68D6"/>
    <w:rsid w:val="003B6C7D"/>
    <w:rsid w:val="003B6DB0"/>
    <w:rsid w:val="003B6FCB"/>
    <w:rsid w:val="003B79D3"/>
    <w:rsid w:val="003C05A3"/>
    <w:rsid w:val="003C0924"/>
    <w:rsid w:val="003C0AE7"/>
    <w:rsid w:val="003C10B0"/>
    <w:rsid w:val="003C1388"/>
    <w:rsid w:val="003C1622"/>
    <w:rsid w:val="003C16E4"/>
    <w:rsid w:val="003C216D"/>
    <w:rsid w:val="003C24E5"/>
    <w:rsid w:val="003C260F"/>
    <w:rsid w:val="003C2D1E"/>
    <w:rsid w:val="003C381B"/>
    <w:rsid w:val="003C43EF"/>
    <w:rsid w:val="003C54AF"/>
    <w:rsid w:val="003C6072"/>
    <w:rsid w:val="003C6155"/>
    <w:rsid w:val="003C7415"/>
    <w:rsid w:val="003C7C82"/>
    <w:rsid w:val="003D029B"/>
    <w:rsid w:val="003D0553"/>
    <w:rsid w:val="003D077A"/>
    <w:rsid w:val="003D095C"/>
    <w:rsid w:val="003D0E2B"/>
    <w:rsid w:val="003D10B1"/>
    <w:rsid w:val="003D23D6"/>
    <w:rsid w:val="003D2DA9"/>
    <w:rsid w:val="003D2E46"/>
    <w:rsid w:val="003D30B0"/>
    <w:rsid w:val="003D315D"/>
    <w:rsid w:val="003D3357"/>
    <w:rsid w:val="003D3430"/>
    <w:rsid w:val="003D358F"/>
    <w:rsid w:val="003D39D7"/>
    <w:rsid w:val="003D4250"/>
    <w:rsid w:val="003D462F"/>
    <w:rsid w:val="003D47F6"/>
    <w:rsid w:val="003D52DD"/>
    <w:rsid w:val="003D5EB3"/>
    <w:rsid w:val="003D6E9B"/>
    <w:rsid w:val="003D706A"/>
    <w:rsid w:val="003D7237"/>
    <w:rsid w:val="003D729B"/>
    <w:rsid w:val="003D7BC6"/>
    <w:rsid w:val="003E077D"/>
    <w:rsid w:val="003E0822"/>
    <w:rsid w:val="003E0C50"/>
    <w:rsid w:val="003E1500"/>
    <w:rsid w:val="003E1973"/>
    <w:rsid w:val="003E1A75"/>
    <w:rsid w:val="003E1F65"/>
    <w:rsid w:val="003E22B8"/>
    <w:rsid w:val="003E2441"/>
    <w:rsid w:val="003E33A3"/>
    <w:rsid w:val="003E36CC"/>
    <w:rsid w:val="003E3FAF"/>
    <w:rsid w:val="003E4432"/>
    <w:rsid w:val="003E45FA"/>
    <w:rsid w:val="003E508A"/>
    <w:rsid w:val="003E520B"/>
    <w:rsid w:val="003E57D0"/>
    <w:rsid w:val="003E6249"/>
    <w:rsid w:val="003E6359"/>
    <w:rsid w:val="003E67D0"/>
    <w:rsid w:val="003E698C"/>
    <w:rsid w:val="003E79EF"/>
    <w:rsid w:val="003F02E2"/>
    <w:rsid w:val="003F067F"/>
    <w:rsid w:val="003F06EA"/>
    <w:rsid w:val="003F08DD"/>
    <w:rsid w:val="003F142F"/>
    <w:rsid w:val="003F1D6C"/>
    <w:rsid w:val="003F2072"/>
    <w:rsid w:val="003F2885"/>
    <w:rsid w:val="003F2988"/>
    <w:rsid w:val="003F2F2F"/>
    <w:rsid w:val="003F308F"/>
    <w:rsid w:val="003F3518"/>
    <w:rsid w:val="003F3C3E"/>
    <w:rsid w:val="003F47D6"/>
    <w:rsid w:val="003F5028"/>
    <w:rsid w:val="003F5A80"/>
    <w:rsid w:val="003F657A"/>
    <w:rsid w:val="003F6717"/>
    <w:rsid w:val="00401264"/>
    <w:rsid w:val="00401746"/>
    <w:rsid w:val="004017BD"/>
    <w:rsid w:val="00401E97"/>
    <w:rsid w:val="00401FB1"/>
    <w:rsid w:val="004024E6"/>
    <w:rsid w:val="004028BD"/>
    <w:rsid w:val="00403870"/>
    <w:rsid w:val="004040F2"/>
    <w:rsid w:val="0040484F"/>
    <w:rsid w:val="00404867"/>
    <w:rsid w:val="0040541B"/>
    <w:rsid w:val="0040584B"/>
    <w:rsid w:val="004058A3"/>
    <w:rsid w:val="0040599C"/>
    <w:rsid w:val="00405ADF"/>
    <w:rsid w:val="00405B14"/>
    <w:rsid w:val="00406245"/>
    <w:rsid w:val="00406A1F"/>
    <w:rsid w:val="0040706A"/>
    <w:rsid w:val="004074A0"/>
    <w:rsid w:val="00407D88"/>
    <w:rsid w:val="00407FD5"/>
    <w:rsid w:val="004111FA"/>
    <w:rsid w:val="004113B3"/>
    <w:rsid w:val="004118FF"/>
    <w:rsid w:val="00411DA1"/>
    <w:rsid w:val="00411E0C"/>
    <w:rsid w:val="00412B08"/>
    <w:rsid w:val="0041306E"/>
    <w:rsid w:val="00413D55"/>
    <w:rsid w:val="00414406"/>
    <w:rsid w:val="004152D3"/>
    <w:rsid w:val="00415624"/>
    <w:rsid w:val="00415932"/>
    <w:rsid w:val="00415B0B"/>
    <w:rsid w:val="004162D5"/>
    <w:rsid w:val="0041643E"/>
    <w:rsid w:val="00420666"/>
    <w:rsid w:val="00422188"/>
    <w:rsid w:val="004221DA"/>
    <w:rsid w:val="0042239E"/>
    <w:rsid w:val="0042277A"/>
    <w:rsid w:val="00422FC5"/>
    <w:rsid w:val="00423A50"/>
    <w:rsid w:val="00424739"/>
    <w:rsid w:val="00424893"/>
    <w:rsid w:val="00424FA3"/>
    <w:rsid w:val="00425653"/>
    <w:rsid w:val="00425D5A"/>
    <w:rsid w:val="004274EA"/>
    <w:rsid w:val="004276DA"/>
    <w:rsid w:val="004277B6"/>
    <w:rsid w:val="004278A5"/>
    <w:rsid w:val="00430E38"/>
    <w:rsid w:val="004311F2"/>
    <w:rsid w:val="0043128D"/>
    <w:rsid w:val="004317AF"/>
    <w:rsid w:val="004327D7"/>
    <w:rsid w:val="00432B86"/>
    <w:rsid w:val="00432B96"/>
    <w:rsid w:val="00432FB4"/>
    <w:rsid w:val="004330DA"/>
    <w:rsid w:val="00433431"/>
    <w:rsid w:val="00433B8B"/>
    <w:rsid w:val="00433DC9"/>
    <w:rsid w:val="00434023"/>
    <w:rsid w:val="00434C51"/>
    <w:rsid w:val="0043508B"/>
    <w:rsid w:val="004352E6"/>
    <w:rsid w:val="004356E9"/>
    <w:rsid w:val="00435F0C"/>
    <w:rsid w:val="004361FD"/>
    <w:rsid w:val="00436309"/>
    <w:rsid w:val="00436831"/>
    <w:rsid w:val="004368E2"/>
    <w:rsid w:val="004369DB"/>
    <w:rsid w:val="00436A0E"/>
    <w:rsid w:val="00436CE4"/>
    <w:rsid w:val="00437386"/>
    <w:rsid w:val="0043778C"/>
    <w:rsid w:val="00437EF3"/>
    <w:rsid w:val="00440BAC"/>
    <w:rsid w:val="00441239"/>
    <w:rsid w:val="0044140D"/>
    <w:rsid w:val="00441A9A"/>
    <w:rsid w:val="00441C19"/>
    <w:rsid w:val="00441F6C"/>
    <w:rsid w:val="0044332C"/>
    <w:rsid w:val="00443502"/>
    <w:rsid w:val="00443679"/>
    <w:rsid w:val="00443D23"/>
    <w:rsid w:val="004443B7"/>
    <w:rsid w:val="004448F1"/>
    <w:rsid w:val="00444E78"/>
    <w:rsid w:val="00445488"/>
    <w:rsid w:val="0044575E"/>
    <w:rsid w:val="0044685E"/>
    <w:rsid w:val="00446BE9"/>
    <w:rsid w:val="00446FD4"/>
    <w:rsid w:val="0045070C"/>
    <w:rsid w:val="004507F2"/>
    <w:rsid w:val="00451692"/>
    <w:rsid w:val="00452377"/>
    <w:rsid w:val="004526F6"/>
    <w:rsid w:val="00452F48"/>
    <w:rsid w:val="00454475"/>
    <w:rsid w:val="004546C1"/>
    <w:rsid w:val="00454E20"/>
    <w:rsid w:val="00456681"/>
    <w:rsid w:val="004566CA"/>
    <w:rsid w:val="00457030"/>
    <w:rsid w:val="00457250"/>
    <w:rsid w:val="004573D0"/>
    <w:rsid w:val="004577BD"/>
    <w:rsid w:val="004601C2"/>
    <w:rsid w:val="004605A1"/>
    <w:rsid w:val="00460FDF"/>
    <w:rsid w:val="00461BD8"/>
    <w:rsid w:val="00461E46"/>
    <w:rsid w:val="004625D5"/>
    <w:rsid w:val="00462876"/>
    <w:rsid w:val="0046365F"/>
    <w:rsid w:val="00463846"/>
    <w:rsid w:val="00463DA2"/>
    <w:rsid w:val="00463F17"/>
    <w:rsid w:val="00464263"/>
    <w:rsid w:val="00464537"/>
    <w:rsid w:val="00464B5B"/>
    <w:rsid w:val="00464C91"/>
    <w:rsid w:val="00465115"/>
    <w:rsid w:val="00466D04"/>
    <w:rsid w:val="00466F91"/>
    <w:rsid w:val="0046707A"/>
    <w:rsid w:val="0046714C"/>
    <w:rsid w:val="00467B07"/>
    <w:rsid w:val="00467F60"/>
    <w:rsid w:val="00467FDD"/>
    <w:rsid w:val="00470013"/>
    <w:rsid w:val="0047041D"/>
    <w:rsid w:val="004711BA"/>
    <w:rsid w:val="0047124B"/>
    <w:rsid w:val="00471385"/>
    <w:rsid w:val="00471D80"/>
    <w:rsid w:val="00471E9A"/>
    <w:rsid w:val="00471F7D"/>
    <w:rsid w:val="0047324E"/>
    <w:rsid w:val="0047360F"/>
    <w:rsid w:val="0047384B"/>
    <w:rsid w:val="00473A10"/>
    <w:rsid w:val="00473A2E"/>
    <w:rsid w:val="0047400D"/>
    <w:rsid w:val="00474175"/>
    <w:rsid w:val="0047431B"/>
    <w:rsid w:val="004746C2"/>
    <w:rsid w:val="00474B95"/>
    <w:rsid w:val="00474D56"/>
    <w:rsid w:val="004753C2"/>
    <w:rsid w:val="00475735"/>
    <w:rsid w:val="00475937"/>
    <w:rsid w:val="00476568"/>
    <w:rsid w:val="0047672A"/>
    <w:rsid w:val="00476C95"/>
    <w:rsid w:val="00477F28"/>
    <w:rsid w:val="004802EA"/>
    <w:rsid w:val="0048079A"/>
    <w:rsid w:val="00480A4C"/>
    <w:rsid w:val="00480B2C"/>
    <w:rsid w:val="00481428"/>
    <w:rsid w:val="00482150"/>
    <w:rsid w:val="004826E1"/>
    <w:rsid w:val="00482FB1"/>
    <w:rsid w:val="00482FF9"/>
    <w:rsid w:val="0048383B"/>
    <w:rsid w:val="00483E5A"/>
    <w:rsid w:val="004840CD"/>
    <w:rsid w:val="0048425E"/>
    <w:rsid w:val="00484649"/>
    <w:rsid w:val="004847CD"/>
    <w:rsid w:val="0048548D"/>
    <w:rsid w:val="004857F4"/>
    <w:rsid w:val="00486A2F"/>
    <w:rsid w:val="00486C50"/>
    <w:rsid w:val="00490527"/>
    <w:rsid w:val="00490B4A"/>
    <w:rsid w:val="00490FA8"/>
    <w:rsid w:val="00490FAA"/>
    <w:rsid w:val="004911E7"/>
    <w:rsid w:val="004913D8"/>
    <w:rsid w:val="00491CB2"/>
    <w:rsid w:val="004922E2"/>
    <w:rsid w:val="00492505"/>
    <w:rsid w:val="0049383B"/>
    <w:rsid w:val="004940AD"/>
    <w:rsid w:val="00494128"/>
    <w:rsid w:val="0049428A"/>
    <w:rsid w:val="00494642"/>
    <w:rsid w:val="004947D3"/>
    <w:rsid w:val="00494AA5"/>
    <w:rsid w:val="0049558D"/>
    <w:rsid w:val="004959B8"/>
    <w:rsid w:val="00495AE0"/>
    <w:rsid w:val="00495C5E"/>
    <w:rsid w:val="00495C9C"/>
    <w:rsid w:val="00495F17"/>
    <w:rsid w:val="00495FF8"/>
    <w:rsid w:val="004964E0"/>
    <w:rsid w:val="00496705"/>
    <w:rsid w:val="004967EA"/>
    <w:rsid w:val="00496F70"/>
    <w:rsid w:val="004975BF"/>
    <w:rsid w:val="00497618"/>
    <w:rsid w:val="004979A3"/>
    <w:rsid w:val="004A0B0C"/>
    <w:rsid w:val="004A2024"/>
    <w:rsid w:val="004A220F"/>
    <w:rsid w:val="004A22FE"/>
    <w:rsid w:val="004A26CB"/>
    <w:rsid w:val="004A2B4E"/>
    <w:rsid w:val="004A2DAA"/>
    <w:rsid w:val="004A35DC"/>
    <w:rsid w:val="004A41FD"/>
    <w:rsid w:val="004A451E"/>
    <w:rsid w:val="004A45E1"/>
    <w:rsid w:val="004A4A74"/>
    <w:rsid w:val="004A4FA2"/>
    <w:rsid w:val="004A5580"/>
    <w:rsid w:val="004A5A61"/>
    <w:rsid w:val="004A5E7E"/>
    <w:rsid w:val="004A669F"/>
    <w:rsid w:val="004A689A"/>
    <w:rsid w:val="004A6962"/>
    <w:rsid w:val="004A6E55"/>
    <w:rsid w:val="004A7240"/>
    <w:rsid w:val="004A779E"/>
    <w:rsid w:val="004A7D98"/>
    <w:rsid w:val="004A7DF6"/>
    <w:rsid w:val="004A7DFE"/>
    <w:rsid w:val="004A7E85"/>
    <w:rsid w:val="004B052A"/>
    <w:rsid w:val="004B0E3B"/>
    <w:rsid w:val="004B1106"/>
    <w:rsid w:val="004B135D"/>
    <w:rsid w:val="004B14E5"/>
    <w:rsid w:val="004B1594"/>
    <w:rsid w:val="004B2C32"/>
    <w:rsid w:val="004B30A5"/>
    <w:rsid w:val="004B3471"/>
    <w:rsid w:val="004B351E"/>
    <w:rsid w:val="004B38D1"/>
    <w:rsid w:val="004B4425"/>
    <w:rsid w:val="004B4F4B"/>
    <w:rsid w:val="004B6152"/>
    <w:rsid w:val="004B66AB"/>
    <w:rsid w:val="004B6D52"/>
    <w:rsid w:val="004B7D5E"/>
    <w:rsid w:val="004C00D1"/>
    <w:rsid w:val="004C0461"/>
    <w:rsid w:val="004C139B"/>
    <w:rsid w:val="004C15C5"/>
    <w:rsid w:val="004C1905"/>
    <w:rsid w:val="004C1AD6"/>
    <w:rsid w:val="004C1CAB"/>
    <w:rsid w:val="004C1D7B"/>
    <w:rsid w:val="004C2236"/>
    <w:rsid w:val="004C22B7"/>
    <w:rsid w:val="004C2501"/>
    <w:rsid w:val="004C27DE"/>
    <w:rsid w:val="004C2981"/>
    <w:rsid w:val="004C2A4F"/>
    <w:rsid w:val="004C2B81"/>
    <w:rsid w:val="004C352D"/>
    <w:rsid w:val="004C3C9C"/>
    <w:rsid w:val="004C5831"/>
    <w:rsid w:val="004C65B1"/>
    <w:rsid w:val="004C7492"/>
    <w:rsid w:val="004C7E58"/>
    <w:rsid w:val="004D02C2"/>
    <w:rsid w:val="004D0364"/>
    <w:rsid w:val="004D0C3A"/>
    <w:rsid w:val="004D13EA"/>
    <w:rsid w:val="004D1EF2"/>
    <w:rsid w:val="004D2618"/>
    <w:rsid w:val="004D2A70"/>
    <w:rsid w:val="004D2AAA"/>
    <w:rsid w:val="004D3A2F"/>
    <w:rsid w:val="004D62CF"/>
    <w:rsid w:val="004D6C90"/>
    <w:rsid w:val="004D713E"/>
    <w:rsid w:val="004D73FD"/>
    <w:rsid w:val="004D74BD"/>
    <w:rsid w:val="004D75BE"/>
    <w:rsid w:val="004D7BF1"/>
    <w:rsid w:val="004E044B"/>
    <w:rsid w:val="004E05BC"/>
    <w:rsid w:val="004E0958"/>
    <w:rsid w:val="004E0A11"/>
    <w:rsid w:val="004E0C8C"/>
    <w:rsid w:val="004E194B"/>
    <w:rsid w:val="004E2D2F"/>
    <w:rsid w:val="004E3429"/>
    <w:rsid w:val="004E3A0C"/>
    <w:rsid w:val="004E3A34"/>
    <w:rsid w:val="004E3B69"/>
    <w:rsid w:val="004E3F30"/>
    <w:rsid w:val="004E4100"/>
    <w:rsid w:val="004E4DC0"/>
    <w:rsid w:val="004E6595"/>
    <w:rsid w:val="004E7305"/>
    <w:rsid w:val="004E7FA7"/>
    <w:rsid w:val="004F03C2"/>
    <w:rsid w:val="004F044F"/>
    <w:rsid w:val="004F0ABF"/>
    <w:rsid w:val="004F13CB"/>
    <w:rsid w:val="004F20B9"/>
    <w:rsid w:val="004F234E"/>
    <w:rsid w:val="004F2410"/>
    <w:rsid w:val="004F2470"/>
    <w:rsid w:val="004F259D"/>
    <w:rsid w:val="004F2859"/>
    <w:rsid w:val="004F2943"/>
    <w:rsid w:val="004F29F7"/>
    <w:rsid w:val="004F2A97"/>
    <w:rsid w:val="004F3059"/>
    <w:rsid w:val="004F3281"/>
    <w:rsid w:val="004F3697"/>
    <w:rsid w:val="004F3E9B"/>
    <w:rsid w:val="004F41C0"/>
    <w:rsid w:val="004F43D7"/>
    <w:rsid w:val="004F52AA"/>
    <w:rsid w:val="004F53EE"/>
    <w:rsid w:val="004F5A12"/>
    <w:rsid w:val="004F6CEE"/>
    <w:rsid w:val="004F72B6"/>
    <w:rsid w:val="004F7363"/>
    <w:rsid w:val="004F79AF"/>
    <w:rsid w:val="004F7CE5"/>
    <w:rsid w:val="0050018C"/>
    <w:rsid w:val="00500D28"/>
    <w:rsid w:val="005017A7"/>
    <w:rsid w:val="00501A94"/>
    <w:rsid w:val="00502E63"/>
    <w:rsid w:val="0050371E"/>
    <w:rsid w:val="0050387C"/>
    <w:rsid w:val="00505416"/>
    <w:rsid w:val="00506000"/>
    <w:rsid w:val="00506303"/>
    <w:rsid w:val="005069FE"/>
    <w:rsid w:val="00507CA3"/>
    <w:rsid w:val="00510250"/>
    <w:rsid w:val="00510398"/>
    <w:rsid w:val="0051170B"/>
    <w:rsid w:val="005119C4"/>
    <w:rsid w:val="00511E2F"/>
    <w:rsid w:val="00512010"/>
    <w:rsid w:val="00512154"/>
    <w:rsid w:val="005123AA"/>
    <w:rsid w:val="00512430"/>
    <w:rsid w:val="00512B44"/>
    <w:rsid w:val="0051321D"/>
    <w:rsid w:val="0051335D"/>
    <w:rsid w:val="00513BC9"/>
    <w:rsid w:val="00514B71"/>
    <w:rsid w:val="00514F95"/>
    <w:rsid w:val="00514FF5"/>
    <w:rsid w:val="0051569C"/>
    <w:rsid w:val="00515707"/>
    <w:rsid w:val="0051634E"/>
    <w:rsid w:val="005169D6"/>
    <w:rsid w:val="00516CA6"/>
    <w:rsid w:val="00516F9B"/>
    <w:rsid w:val="005170FD"/>
    <w:rsid w:val="005174FF"/>
    <w:rsid w:val="00520392"/>
    <w:rsid w:val="00520DB6"/>
    <w:rsid w:val="005211BC"/>
    <w:rsid w:val="00521BF9"/>
    <w:rsid w:val="00521EDC"/>
    <w:rsid w:val="00521F19"/>
    <w:rsid w:val="005222AC"/>
    <w:rsid w:val="00522938"/>
    <w:rsid w:val="00522EB8"/>
    <w:rsid w:val="00523748"/>
    <w:rsid w:val="00523B14"/>
    <w:rsid w:val="00523EF0"/>
    <w:rsid w:val="00523F35"/>
    <w:rsid w:val="0052450C"/>
    <w:rsid w:val="00524804"/>
    <w:rsid w:val="00524D96"/>
    <w:rsid w:val="00525429"/>
    <w:rsid w:val="00525642"/>
    <w:rsid w:val="005256C1"/>
    <w:rsid w:val="00525B41"/>
    <w:rsid w:val="0052606F"/>
    <w:rsid w:val="005261D8"/>
    <w:rsid w:val="00526707"/>
    <w:rsid w:val="00526BEC"/>
    <w:rsid w:val="00526F83"/>
    <w:rsid w:val="0052781D"/>
    <w:rsid w:val="005279D9"/>
    <w:rsid w:val="00530775"/>
    <w:rsid w:val="00531CA9"/>
    <w:rsid w:val="00531F12"/>
    <w:rsid w:val="0053213C"/>
    <w:rsid w:val="00532716"/>
    <w:rsid w:val="00532922"/>
    <w:rsid w:val="0053309E"/>
    <w:rsid w:val="00533105"/>
    <w:rsid w:val="00533294"/>
    <w:rsid w:val="00533C72"/>
    <w:rsid w:val="00535481"/>
    <w:rsid w:val="00535C70"/>
    <w:rsid w:val="00537674"/>
    <w:rsid w:val="0053794E"/>
    <w:rsid w:val="005400A5"/>
    <w:rsid w:val="00540DDC"/>
    <w:rsid w:val="00541164"/>
    <w:rsid w:val="0054116D"/>
    <w:rsid w:val="005425D1"/>
    <w:rsid w:val="0054299A"/>
    <w:rsid w:val="00543ED8"/>
    <w:rsid w:val="0054431A"/>
    <w:rsid w:val="00544C3B"/>
    <w:rsid w:val="005453F8"/>
    <w:rsid w:val="00545562"/>
    <w:rsid w:val="005463FF"/>
    <w:rsid w:val="0054691B"/>
    <w:rsid w:val="00546F06"/>
    <w:rsid w:val="005503B4"/>
    <w:rsid w:val="005506B7"/>
    <w:rsid w:val="00550B3B"/>
    <w:rsid w:val="00551603"/>
    <w:rsid w:val="0055208B"/>
    <w:rsid w:val="00552457"/>
    <w:rsid w:val="005527DF"/>
    <w:rsid w:val="00552A43"/>
    <w:rsid w:val="00552C4C"/>
    <w:rsid w:val="005534AD"/>
    <w:rsid w:val="0055398A"/>
    <w:rsid w:val="00553DC6"/>
    <w:rsid w:val="00554B0D"/>
    <w:rsid w:val="00555460"/>
    <w:rsid w:val="00555732"/>
    <w:rsid w:val="00555DA8"/>
    <w:rsid w:val="00555DDF"/>
    <w:rsid w:val="00556490"/>
    <w:rsid w:val="005565A5"/>
    <w:rsid w:val="00556653"/>
    <w:rsid w:val="0055734C"/>
    <w:rsid w:val="00560720"/>
    <w:rsid w:val="00561763"/>
    <w:rsid w:val="005618D1"/>
    <w:rsid w:val="0056262F"/>
    <w:rsid w:val="00562959"/>
    <w:rsid w:val="00562B82"/>
    <w:rsid w:val="0056316B"/>
    <w:rsid w:val="005632A5"/>
    <w:rsid w:val="00563864"/>
    <w:rsid w:val="0056418E"/>
    <w:rsid w:val="00564250"/>
    <w:rsid w:val="00564504"/>
    <w:rsid w:val="00564AC6"/>
    <w:rsid w:val="005652E1"/>
    <w:rsid w:val="00565518"/>
    <w:rsid w:val="005655F7"/>
    <w:rsid w:val="0056567B"/>
    <w:rsid w:val="005663E1"/>
    <w:rsid w:val="00566EFA"/>
    <w:rsid w:val="00567105"/>
    <w:rsid w:val="005672D5"/>
    <w:rsid w:val="00570BEE"/>
    <w:rsid w:val="00570C2B"/>
    <w:rsid w:val="00571792"/>
    <w:rsid w:val="00571EC0"/>
    <w:rsid w:val="005729A6"/>
    <w:rsid w:val="00572F58"/>
    <w:rsid w:val="00573D17"/>
    <w:rsid w:val="00573E4F"/>
    <w:rsid w:val="005741BA"/>
    <w:rsid w:val="00574BBA"/>
    <w:rsid w:val="0057509A"/>
    <w:rsid w:val="005751BB"/>
    <w:rsid w:val="005755A2"/>
    <w:rsid w:val="00575E97"/>
    <w:rsid w:val="00576022"/>
    <w:rsid w:val="005775CA"/>
    <w:rsid w:val="00577943"/>
    <w:rsid w:val="00577C99"/>
    <w:rsid w:val="00577D42"/>
    <w:rsid w:val="0058016E"/>
    <w:rsid w:val="00580CD2"/>
    <w:rsid w:val="005811E2"/>
    <w:rsid w:val="0058156E"/>
    <w:rsid w:val="005817BB"/>
    <w:rsid w:val="00581C4E"/>
    <w:rsid w:val="00581CC1"/>
    <w:rsid w:val="00582684"/>
    <w:rsid w:val="00582C37"/>
    <w:rsid w:val="0058311B"/>
    <w:rsid w:val="0058327D"/>
    <w:rsid w:val="005835FD"/>
    <w:rsid w:val="005841B5"/>
    <w:rsid w:val="00584927"/>
    <w:rsid w:val="005849BD"/>
    <w:rsid w:val="005851F6"/>
    <w:rsid w:val="00585358"/>
    <w:rsid w:val="00585566"/>
    <w:rsid w:val="0058559C"/>
    <w:rsid w:val="00586274"/>
    <w:rsid w:val="005863A4"/>
    <w:rsid w:val="0058657E"/>
    <w:rsid w:val="00586CC5"/>
    <w:rsid w:val="005876A0"/>
    <w:rsid w:val="00587741"/>
    <w:rsid w:val="00587C46"/>
    <w:rsid w:val="00592708"/>
    <w:rsid w:val="00592CA0"/>
    <w:rsid w:val="00593621"/>
    <w:rsid w:val="005951E6"/>
    <w:rsid w:val="00595692"/>
    <w:rsid w:val="00595715"/>
    <w:rsid w:val="005957A7"/>
    <w:rsid w:val="00595983"/>
    <w:rsid w:val="00595D05"/>
    <w:rsid w:val="005964B1"/>
    <w:rsid w:val="005964E5"/>
    <w:rsid w:val="00596695"/>
    <w:rsid w:val="00596B4F"/>
    <w:rsid w:val="00596D30"/>
    <w:rsid w:val="00597120"/>
    <w:rsid w:val="00597C29"/>
    <w:rsid w:val="005A13DA"/>
    <w:rsid w:val="005A1FB6"/>
    <w:rsid w:val="005A2185"/>
    <w:rsid w:val="005A26C0"/>
    <w:rsid w:val="005A298C"/>
    <w:rsid w:val="005A2D92"/>
    <w:rsid w:val="005A34C8"/>
    <w:rsid w:val="005A4794"/>
    <w:rsid w:val="005A609E"/>
    <w:rsid w:val="005A6A19"/>
    <w:rsid w:val="005A6E31"/>
    <w:rsid w:val="005A7628"/>
    <w:rsid w:val="005A7B3B"/>
    <w:rsid w:val="005B0381"/>
    <w:rsid w:val="005B1DFA"/>
    <w:rsid w:val="005B2CDE"/>
    <w:rsid w:val="005B2ECA"/>
    <w:rsid w:val="005B3011"/>
    <w:rsid w:val="005B378F"/>
    <w:rsid w:val="005B3DBE"/>
    <w:rsid w:val="005B4B71"/>
    <w:rsid w:val="005B5AB4"/>
    <w:rsid w:val="005B5B12"/>
    <w:rsid w:val="005B6074"/>
    <w:rsid w:val="005B68F9"/>
    <w:rsid w:val="005B750C"/>
    <w:rsid w:val="005B767B"/>
    <w:rsid w:val="005B77D4"/>
    <w:rsid w:val="005C159F"/>
    <w:rsid w:val="005C20EF"/>
    <w:rsid w:val="005C21F1"/>
    <w:rsid w:val="005C2391"/>
    <w:rsid w:val="005C23A8"/>
    <w:rsid w:val="005C2699"/>
    <w:rsid w:val="005C32AB"/>
    <w:rsid w:val="005C3570"/>
    <w:rsid w:val="005C360E"/>
    <w:rsid w:val="005C36AE"/>
    <w:rsid w:val="005C3B09"/>
    <w:rsid w:val="005C3B30"/>
    <w:rsid w:val="005C4C41"/>
    <w:rsid w:val="005C546B"/>
    <w:rsid w:val="005C5BB1"/>
    <w:rsid w:val="005C6AE3"/>
    <w:rsid w:val="005C6C48"/>
    <w:rsid w:val="005C6CB2"/>
    <w:rsid w:val="005C7AC5"/>
    <w:rsid w:val="005C7BCD"/>
    <w:rsid w:val="005D0436"/>
    <w:rsid w:val="005D0972"/>
    <w:rsid w:val="005D13A2"/>
    <w:rsid w:val="005D1B6F"/>
    <w:rsid w:val="005D1C5D"/>
    <w:rsid w:val="005D2048"/>
    <w:rsid w:val="005D20B3"/>
    <w:rsid w:val="005D2482"/>
    <w:rsid w:val="005D2D19"/>
    <w:rsid w:val="005D3152"/>
    <w:rsid w:val="005D3EDF"/>
    <w:rsid w:val="005D421C"/>
    <w:rsid w:val="005D47A7"/>
    <w:rsid w:val="005D4C1E"/>
    <w:rsid w:val="005D4E5B"/>
    <w:rsid w:val="005D5BA6"/>
    <w:rsid w:val="005D685D"/>
    <w:rsid w:val="005D688A"/>
    <w:rsid w:val="005D7C87"/>
    <w:rsid w:val="005E038F"/>
    <w:rsid w:val="005E06FA"/>
    <w:rsid w:val="005E2133"/>
    <w:rsid w:val="005E2755"/>
    <w:rsid w:val="005E293F"/>
    <w:rsid w:val="005E39BE"/>
    <w:rsid w:val="005E3B57"/>
    <w:rsid w:val="005E3EF6"/>
    <w:rsid w:val="005E4372"/>
    <w:rsid w:val="005E4C08"/>
    <w:rsid w:val="005E4D44"/>
    <w:rsid w:val="005E4D97"/>
    <w:rsid w:val="005E5313"/>
    <w:rsid w:val="005E694A"/>
    <w:rsid w:val="005E6E7C"/>
    <w:rsid w:val="005E737F"/>
    <w:rsid w:val="005E7462"/>
    <w:rsid w:val="005E7D3B"/>
    <w:rsid w:val="005E7FEB"/>
    <w:rsid w:val="005F02C2"/>
    <w:rsid w:val="005F09DF"/>
    <w:rsid w:val="005F0E65"/>
    <w:rsid w:val="005F2DBC"/>
    <w:rsid w:val="005F2DED"/>
    <w:rsid w:val="005F3404"/>
    <w:rsid w:val="005F4BA0"/>
    <w:rsid w:val="005F4F0B"/>
    <w:rsid w:val="005F5B8D"/>
    <w:rsid w:val="005F6490"/>
    <w:rsid w:val="006012B7"/>
    <w:rsid w:val="00601D5F"/>
    <w:rsid w:val="00602EE8"/>
    <w:rsid w:val="0060334E"/>
    <w:rsid w:val="0060395A"/>
    <w:rsid w:val="00604120"/>
    <w:rsid w:val="00604259"/>
    <w:rsid w:val="006046A8"/>
    <w:rsid w:val="00604729"/>
    <w:rsid w:val="006048AB"/>
    <w:rsid w:val="006048D5"/>
    <w:rsid w:val="00604AC4"/>
    <w:rsid w:val="00604DDC"/>
    <w:rsid w:val="00604E2C"/>
    <w:rsid w:val="00604F24"/>
    <w:rsid w:val="00605B77"/>
    <w:rsid w:val="00605DDD"/>
    <w:rsid w:val="00606558"/>
    <w:rsid w:val="00606CD1"/>
    <w:rsid w:val="00606FE1"/>
    <w:rsid w:val="00607365"/>
    <w:rsid w:val="00607707"/>
    <w:rsid w:val="006078DB"/>
    <w:rsid w:val="00611267"/>
    <w:rsid w:val="00611E53"/>
    <w:rsid w:val="00611FAE"/>
    <w:rsid w:val="006123BF"/>
    <w:rsid w:val="006128BF"/>
    <w:rsid w:val="00613019"/>
    <w:rsid w:val="00613157"/>
    <w:rsid w:val="0061383F"/>
    <w:rsid w:val="006149CD"/>
    <w:rsid w:val="006150FC"/>
    <w:rsid w:val="00615130"/>
    <w:rsid w:val="00615312"/>
    <w:rsid w:val="006155F3"/>
    <w:rsid w:val="00615B8E"/>
    <w:rsid w:val="00617073"/>
    <w:rsid w:val="006175E9"/>
    <w:rsid w:val="00617CE0"/>
    <w:rsid w:val="0062283D"/>
    <w:rsid w:val="00624404"/>
    <w:rsid w:val="00624670"/>
    <w:rsid w:val="00624E5A"/>
    <w:rsid w:val="00624E8C"/>
    <w:rsid w:val="0062588D"/>
    <w:rsid w:val="0062754B"/>
    <w:rsid w:val="0063014E"/>
    <w:rsid w:val="0063026A"/>
    <w:rsid w:val="00630DFF"/>
    <w:rsid w:val="0063165A"/>
    <w:rsid w:val="0063203A"/>
    <w:rsid w:val="006326CC"/>
    <w:rsid w:val="00632835"/>
    <w:rsid w:val="00632AC1"/>
    <w:rsid w:val="006330E4"/>
    <w:rsid w:val="00634334"/>
    <w:rsid w:val="00634C0B"/>
    <w:rsid w:val="006356E6"/>
    <w:rsid w:val="00635D63"/>
    <w:rsid w:val="00635EF7"/>
    <w:rsid w:val="00636C9A"/>
    <w:rsid w:val="0063706B"/>
    <w:rsid w:val="0063766D"/>
    <w:rsid w:val="00637996"/>
    <w:rsid w:val="006407F9"/>
    <w:rsid w:val="00640F27"/>
    <w:rsid w:val="006424FB"/>
    <w:rsid w:val="006428CA"/>
    <w:rsid w:val="0064332A"/>
    <w:rsid w:val="00643A83"/>
    <w:rsid w:val="00644143"/>
    <w:rsid w:val="0064466D"/>
    <w:rsid w:val="006447A8"/>
    <w:rsid w:val="006468A8"/>
    <w:rsid w:val="00647285"/>
    <w:rsid w:val="00647371"/>
    <w:rsid w:val="0064796D"/>
    <w:rsid w:val="00647C71"/>
    <w:rsid w:val="0065072B"/>
    <w:rsid w:val="0065074C"/>
    <w:rsid w:val="00650F99"/>
    <w:rsid w:val="006512D4"/>
    <w:rsid w:val="00651F04"/>
    <w:rsid w:val="00652AED"/>
    <w:rsid w:val="00652D17"/>
    <w:rsid w:val="00653A09"/>
    <w:rsid w:val="00654F26"/>
    <w:rsid w:val="00655261"/>
    <w:rsid w:val="006552B0"/>
    <w:rsid w:val="00655AB0"/>
    <w:rsid w:val="00655CB5"/>
    <w:rsid w:val="006566BD"/>
    <w:rsid w:val="006566E8"/>
    <w:rsid w:val="00656BF0"/>
    <w:rsid w:val="00656E42"/>
    <w:rsid w:val="00656EDB"/>
    <w:rsid w:val="00657D4F"/>
    <w:rsid w:val="00657F21"/>
    <w:rsid w:val="006600AA"/>
    <w:rsid w:val="0066023F"/>
    <w:rsid w:val="00660436"/>
    <w:rsid w:val="00660605"/>
    <w:rsid w:val="0066068F"/>
    <w:rsid w:val="0066071F"/>
    <w:rsid w:val="0066088D"/>
    <w:rsid w:val="00661805"/>
    <w:rsid w:val="00661B23"/>
    <w:rsid w:val="00662794"/>
    <w:rsid w:val="00662937"/>
    <w:rsid w:val="00663DA9"/>
    <w:rsid w:val="00664154"/>
    <w:rsid w:val="00664219"/>
    <w:rsid w:val="0066447D"/>
    <w:rsid w:val="00664BF5"/>
    <w:rsid w:val="00664C53"/>
    <w:rsid w:val="00664DB4"/>
    <w:rsid w:val="00666A53"/>
    <w:rsid w:val="006670F7"/>
    <w:rsid w:val="006671E4"/>
    <w:rsid w:val="00667CBC"/>
    <w:rsid w:val="00667D2E"/>
    <w:rsid w:val="006705DA"/>
    <w:rsid w:val="00670959"/>
    <w:rsid w:val="00670ED8"/>
    <w:rsid w:val="0067108C"/>
    <w:rsid w:val="00672A09"/>
    <w:rsid w:val="00673630"/>
    <w:rsid w:val="0067371E"/>
    <w:rsid w:val="006739B0"/>
    <w:rsid w:val="0067407D"/>
    <w:rsid w:val="00674187"/>
    <w:rsid w:val="006742A5"/>
    <w:rsid w:val="006745EE"/>
    <w:rsid w:val="00675469"/>
    <w:rsid w:val="00675C05"/>
    <w:rsid w:val="00676A76"/>
    <w:rsid w:val="00676B40"/>
    <w:rsid w:val="00676B6F"/>
    <w:rsid w:val="00676ED2"/>
    <w:rsid w:val="006772F1"/>
    <w:rsid w:val="00677C56"/>
    <w:rsid w:val="00677D20"/>
    <w:rsid w:val="00677EA2"/>
    <w:rsid w:val="006801E1"/>
    <w:rsid w:val="00680771"/>
    <w:rsid w:val="006809D6"/>
    <w:rsid w:val="0068222E"/>
    <w:rsid w:val="0068233A"/>
    <w:rsid w:val="00682A73"/>
    <w:rsid w:val="00682FDA"/>
    <w:rsid w:val="006833FA"/>
    <w:rsid w:val="00683645"/>
    <w:rsid w:val="00684E0F"/>
    <w:rsid w:val="00684E54"/>
    <w:rsid w:val="0068545B"/>
    <w:rsid w:val="00685467"/>
    <w:rsid w:val="00685D32"/>
    <w:rsid w:val="00685D68"/>
    <w:rsid w:val="00686A63"/>
    <w:rsid w:val="00686D77"/>
    <w:rsid w:val="006873E8"/>
    <w:rsid w:val="006878FF"/>
    <w:rsid w:val="006900DF"/>
    <w:rsid w:val="0069031F"/>
    <w:rsid w:val="00690637"/>
    <w:rsid w:val="00690986"/>
    <w:rsid w:val="00690F06"/>
    <w:rsid w:val="006913F5"/>
    <w:rsid w:val="00691945"/>
    <w:rsid w:val="006919E7"/>
    <w:rsid w:val="00692968"/>
    <w:rsid w:val="00692C40"/>
    <w:rsid w:val="0069343B"/>
    <w:rsid w:val="00693473"/>
    <w:rsid w:val="0069369B"/>
    <w:rsid w:val="006938B1"/>
    <w:rsid w:val="00693BFC"/>
    <w:rsid w:val="00694199"/>
    <w:rsid w:val="00694B5E"/>
    <w:rsid w:val="006953A0"/>
    <w:rsid w:val="0069541B"/>
    <w:rsid w:val="006958A8"/>
    <w:rsid w:val="00695F33"/>
    <w:rsid w:val="006963DE"/>
    <w:rsid w:val="0069798F"/>
    <w:rsid w:val="006A104F"/>
    <w:rsid w:val="006A10C4"/>
    <w:rsid w:val="006A33DF"/>
    <w:rsid w:val="006A3C81"/>
    <w:rsid w:val="006A3D8C"/>
    <w:rsid w:val="006A3E43"/>
    <w:rsid w:val="006A4F35"/>
    <w:rsid w:val="006A5299"/>
    <w:rsid w:val="006A52CF"/>
    <w:rsid w:val="006A52E2"/>
    <w:rsid w:val="006A53EA"/>
    <w:rsid w:val="006A5894"/>
    <w:rsid w:val="006A5CE0"/>
    <w:rsid w:val="006A5E6D"/>
    <w:rsid w:val="006A60E7"/>
    <w:rsid w:val="006A6743"/>
    <w:rsid w:val="006A7ED3"/>
    <w:rsid w:val="006B014F"/>
    <w:rsid w:val="006B0494"/>
    <w:rsid w:val="006B068D"/>
    <w:rsid w:val="006B0E6C"/>
    <w:rsid w:val="006B190E"/>
    <w:rsid w:val="006B1EE3"/>
    <w:rsid w:val="006B212D"/>
    <w:rsid w:val="006B2181"/>
    <w:rsid w:val="006B310A"/>
    <w:rsid w:val="006B37D5"/>
    <w:rsid w:val="006B3B7A"/>
    <w:rsid w:val="006B3B94"/>
    <w:rsid w:val="006B41D2"/>
    <w:rsid w:val="006B44D8"/>
    <w:rsid w:val="006B49A0"/>
    <w:rsid w:val="006B4BED"/>
    <w:rsid w:val="006B4DCD"/>
    <w:rsid w:val="006B4FE1"/>
    <w:rsid w:val="006B5441"/>
    <w:rsid w:val="006B5AA7"/>
    <w:rsid w:val="006B715A"/>
    <w:rsid w:val="006B717C"/>
    <w:rsid w:val="006B71AE"/>
    <w:rsid w:val="006B79B9"/>
    <w:rsid w:val="006B7E8A"/>
    <w:rsid w:val="006C009C"/>
    <w:rsid w:val="006C03D0"/>
    <w:rsid w:val="006C08F7"/>
    <w:rsid w:val="006C1053"/>
    <w:rsid w:val="006C18E7"/>
    <w:rsid w:val="006C25EB"/>
    <w:rsid w:val="006C2674"/>
    <w:rsid w:val="006C27F9"/>
    <w:rsid w:val="006C28E1"/>
    <w:rsid w:val="006C30A8"/>
    <w:rsid w:val="006C33D0"/>
    <w:rsid w:val="006C534E"/>
    <w:rsid w:val="006C5643"/>
    <w:rsid w:val="006C58AD"/>
    <w:rsid w:val="006C5B70"/>
    <w:rsid w:val="006C6BDC"/>
    <w:rsid w:val="006C6EC3"/>
    <w:rsid w:val="006C7E80"/>
    <w:rsid w:val="006D0152"/>
    <w:rsid w:val="006D01F3"/>
    <w:rsid w:val="006D03A3"/>
    <w:rsid w:val="006D0C6A"/>
    <w:rsid w:val="006D1277"/>
    <w:rsid w:val="006D17CA"/>
    <w:rsid w:val="006D2177"/>
    <w:rsid w:val="006D3601"/>
    <w:rsid w:val="006D36A1"/>
    <w:rsid w:val="006D3EB7"/>
    <w:rsid w:val="006D3FB5"/>
    <w:rsid w:val="006D41B9"/>
    <w:rsid w:val="006D4449"/>
    <w:rsid w:val="006D4756"/>
    <w:rsid w:val="006D5906"/>
    <w:rsid w:val="006D5E01"/>
    <w:rsid w:val="006D5FE8"/>
    <w:rsid w:val="006D61C6"/>
    <w:rsid w:val="006D6565"/>
    <w:rsid w:val="006D66E3"/>
    <w:rsid w:val="006D67A6"/>
    <w:rsid w:val="006D6D05"/>
    <w:rsid w:val="006D6FEA"/>
    <w:rsid w:val="006D74B2"/>
    <w:rsid w:val="006D7635"/>
    <w:rsid w:val="006D78CD"/>
    <w:rsid w:val="006D7C75"/>
    <w:rsid w:val="006D7ED9"/>
    <w:rsid w:val="006D7F54"/>
    <w:rsid w:val="006E0572"/>
    <w:rsid w:val="006E05A9"/>
    <w:rsid w:val="006E0D6B"/>
    <w:rsid w:val="006E154A"/>
    <w:rsid w:val="006E1DAF"/>
    <w:rsid w:val="006E1FA7"/>
    <w:rsid w:val="006E3114"/>
    <w:rsid w:val="006E4A52"/>
    <w:rsid w:val="006E543B"/>
    <w:rsid w:val="006E557B"/>
    <w:rsid w:val="006E5854"/>
    <w:rsid w:val="006E61D0"/>
    <w:rsid w:val="006E72B5"/>
    <w:rsid w:val="006E7A74"/>
    <w:rsid w:val="006E7C99"/>
    <w:rsid w:val="006F06B3"/>
    <w:rsid w:val="006F13B0"/>
    <w:rsid w:val="006F1E13"/>
    <w:rsid w:val="006F1EAA"/>
    <w:rsid w:val="006F27A3"/>
    <w:rsid w:val="006F2D7F"/>
    <w:rsid w:val="006F557E"/>
    <w:rsid w:val="006F5959"/>
    <w:rsid w:val="006F70E5"/>
    <w:rsid w:val="006F730A"/>
    <w:rsid w:val="006F76BC"/>
    <w:rsid w:val="006F76BF"/>
    <w:rsid w:val="006F76FB"/>
    <w:rsid w:val="0070005E"/>
    <w:rsid w:val="00700B65"/>
    <w:rsid w:val="00700C28"/>
    <w:rsid w:val="00702019"/>
    <w:rsid w:val="00702260"/>
    <w:rsid w:val="00702EB1"/>
    <w:rsid w:val="00703845"/>
    <w:rsid w:val="00703A97"/>
    <w:rsid w:val="00705030"/>
    <w:rsid w:val="007053A9"/>
    <w:rsid w:val="00705845"/>
    <w:rsid w:val="00706305"/>
    <w:rsid w:val="00706E03"/>
    <w:rsid w:val="0071028B"/>
    <w:rsid w:val="00710BE3"/>
    <w:rsid w:val="00710C08"/>
    <w:rsid w:val="00710C96"/>
    <w:rsid w:val="00711E8D"/>
    <w:rsid w:val="00712760"/>
    <w:rsid w:val="007139E9"/>
    <w:rsid w:val="007145B6"/>
    <w:rsid w:val="007147D0"/>
    <w:rsid w:val="0071502B"/>
    <w:rsid w:val="00716390"/>
    <w:rsid w:val="00716673"/>
    <w:rsid w:val="00716717"/>
    <w:rsid w:val="00717487"/>
    <w:rsid w:val="0071790B"/>
    <w:rsid w:val="00717DD8"/>
    <w:rsid w:val="00720274"/>
    <w:rsid w:val="007207CF"/>
    <w:rsid w:val="00720FF0"/>
    <w:rsid w:val="00721E59"/>
    <w:rsid w:val="00722D3B"/>
    <w:rsid w:val="00723F6F"/>
    <w:rsid w:val="00724C46"/>
    <w:rsid w:val="007250B0"/>
    <w:rsid w:val="00725DB0"/>
    <w:rsid w:val="00725F29"/>
    <w:rsid w:val="00726A90"/>
    <w:rsid w:val="00726ED1"/>
    <w:rsid w:val="00727CBC"/>
    <w:rsid w:val="00730D14"/>
    <w:rsid w:val="00731942"/>
    <w:rsid w:val="007319D8"/>
    <w:rsid w:val="00731B5F"/>
    <w:rsid w:val="00731B64"/>
    <w:rsid w:val="0073219F"/>
    <w:rsid w:val="00732D2A"/>
    <w:rsid w:val="0073303A"/>
    <w:rsid w:val="00733402"/>
    <w:rsid w:val="00733733"/>
    <w:rsid w:val="0073373A"/>
    <w:rsid w:val="00733A7A"/>
    <w:rsid w:val="00733FA3"/>
    <w:rsid w:val="007342CF"/>
    <w:rsid w:val="00734A40"/>
    <w:rsid w:val="00734D88"/>
    <w:rsid w:val="007354E1"/>
    <w:rsid w:val="00735564"/>
    <w:rsid w:val="00735DC8"/>
    <w:rsid w:val="00735F37"/>
    <w:rsid w:val="00736179"/>
    <w:rsid w:val="00737082"/>
    <w:rsid w:val="00737AC0"/>
    <w:rsid w:val="00740473"/>
    <w:rsid w:val="00740DF3"/>
    <w:rsid w:val="00740E7F"/>
    <w:rsid w:val="007410A8"/>
    <w:rsid w:val="00743608"/>
    <w:rsid w:val="00743C0E"/>
    <w:rsid w:val="00743CB6"/>
    <w:rsid w:val="007441F2"/>
    <w:rsid w:val="00744303"/>
    <w:rsid w:val="00744522"/>
    <w:rsid w:val="00744981"/>
    <w:rsid w:val="00744A30"/>
    <w:rsid w:val="00744AC9"/>
    <w:rsid w:val="0074522B"/>
    <w:rsid w:val="0074567C"/>
    <w:rsid w:val="007458D9"/>
    <w:rsid w:val="00745B1E"/>
    <w:rsid w:val="00745BA0"/>
    <w:rsid w:val="00746363"/>
    <w:rsid w:val="00746571"/>
    <w:rsid w:val="00746926"/>
    <w:rsid w:val="00746DB0"/>
    <w:rsid w:val="007471D6"/>
    <w:rsid w:val="00747478"/>
    <w:rsid w:val="0074763A"/>
    <w:rsid w:val="007478E1"/>
    <w:rsid w:val="00750168"/>
    <w:rsid w:val="00751279"/>
    <w:rsid w:val="00751369"/>
    <w:rsid w:val="00751950"/>
    <w:rsid w:val="00751AB4"/>
    <w:rsid w:val="0075203C"/>
    <w:rsid w:val="00752114"/>
    <w:rsid w:val="0075215B"/>
    <w:rsid w:val="00753397"/>
    <w:rsid w:val="0075490D"/>
    <w:rsid w:val="007549E8"/>
    <w:rsid w:val="0075597D"/>
    <w:rsid w:val="00755C18"/>
    <w:rsid w:val="00755FF8"/>
    <w:rsid w:val="00757BE1"/>
    <w:rsid w:val="0076035E"/>
    <w:rsid w:val="00760506"/>
    <w:rsid w:val="00760DE8"/>
    <w:rsid w:val="00761203"/>
    <w:rsid w:val="00761D9A"/>
    <w:rsid w:val="00762B85"/>
    <w:rsid w:val="007631F8"/>
    <w:rsid w:val="007635E5"/>
    <w:rsid w:val="00763D38"/>
    <w:rsid w:val="007648DB"/>
    <w:rsid w:val="00764BED"/>
    <w:rsid w:val="00765430"/>
    <w:rsid w:val="007665ED"/>
    <w:rsid w:val="00766CD6"/>
    <w:rsid w:val="00767507"/>
    <w:rsid w:val="00767712"/>
    <w:rsid w:val="00771078"/>
    <w:rsid w:val="0077120C"/>
    <w:rsid w:val="007718BD"/>
    <w:rsid w:val="00772558"/>
    <w:rsid w:val="007726C6"/>
    <w:rsid w:val="007729A8"/>
    <w:rsid w:val="007729F9"/>
    <w:rsid w:val="00774BB1"/>
    <w:rsid w:val="0077529C"/>
    <w:rsid w:val="007753B2"/>
    <w:rsid w:val="007755CB"/>
    <w:rsid w:val="00775ACE"/>
    <w:rsid w:val="00776670"/>
    <w:rsid w:val="00777A96"/>
    <w:rsid w:val="00780254"/>
    <w:rsid w:val="00780A9A"/>
    <w:rsid w:val="00780E27"/>
    <w:rsid w:val="007811D7"/>
    <w:rsid w:val="00781862"/>
    <w:rsid w:val="007818E8"/>
    <w:rsid w:val="0078192E"/>
    <w:rsid w:val="00781F7E"/>
    <w:rsid w:val="00781FA9"/>
    <w:rsid w:val="00782220"/>
    <w:rsid w:val="00782AA8"/>
    <w:rsid w:val="007831B3"/>
    <w:rsid w:val="007835F4"/>
    <w:rsid w:val="00783728"/>
    <w:rsid w:val="00783955"/>
    <w:rsid w:val="0078395A"/>
    <w:rsid w:val="0078498C"/>
    <w:rsid w:val="00784AA7"/>
    <w:rsid w:val="00784E59"/>
    <w:rsid w:val="00785F0E"/>
    <w:rsid w:val="00785F72"/>
    <w:rsid w:val="0078657B"/>
    <w:rsid w:val="00786B8B"/>
    <w:rsid w:val="00787401"/>
    <w:rsid w:val="00787AC9"/>
    <w:rsid w:val="00787F7F"/>
    <w:rsid w:val="007902D4"/>
    <w:rsid w:val="00790304"/>
    <w:rsid w:val="0079037A"/>
    <w:rsid w:val="00790663"/>
    <w:rsid w:val="00791605"/>
    <w:rsid w:val="00791E21"/>
    <w:rsid w:val="00792A97"/>
    <w:rsid w:val="00792CA8"/>
    <w:rsid w:val="0079350D"/>
    <w:rsid w:val="00793AA3"/>
    <w:rsid w:val="00793AF4"/>
    <w:rsid w:val="00793BD3"/>
    <w:rsid w:val="007940FE"/>
    <w:rsid w:val="007942AC"/>
    <w:rsid w:val="00794437"/>
    <w:rsid w:val="00794CD2"/>
    <w:rsid w:val="00794E72"/>
    <w:rsid w:val="00794F2A"/>
    <w:rsid w:val="007959BE"/>
    <w:rsid w:val="00795A13"/>
    <w:rsid w:val="00795E13"/>
    <w:rsid w:val="00795E33"/>
    <w:rsid w:val="00795EEA"/>
    <w:rsid w:val="00796642"/>
    <w:rsid w:val="00796A42"/>
    <w:rsid w:val="00796A62"/>
    <w:rsid w:val="007970F7"/>
    <w:rsid w:val="00797693"/>
    <w:rsid w:val="007A057F"/>
    <w:rsid w:val="007A05C7"/>
    <w:rsid w:val="007A067C"/>
    <w:rsid w:val="007A0780"/>
    <w:rsid w:val="007A0DBA"/>
    <w:rsid w:val="007A0DDA"/>
    <w:rsid w:val="007A1215"/>
    <w:rsid w:val="007A126C"/>
    <w:rsid w:val="007A14F7"/>
    <w:rsid w:val="007A16EC"/>
    <w:rsid w:val="007A1FD6"/>
    <w:rsid w:val="007A2355"/>
    <w:rsid w:val="007A2F15"/>
    <w:rsid w:val="007A346E"/>
    <w:rsid w:val="007A3B9E"/>
    <w:rsid w:val="007A3E5A"/>
    <w:rsid w:val="007A4107"/>
    <w:rsid w:val="007A41D6"/>
    <w:rsid w:val="007A452E"/>
    <w:rsid w:val="007A5636"/>
    <w:rsid w:val="007A5719"/>
    <w:rsid w:val="007A5A55"/>
    <w:rsid w:val="007A6A18"/>
    <w:rsid w:val="007A73F2"/>
    <w:rsid w:val="007A74DE"/>
    <w:rsid w:val="007A7DB5"/>
    <w:rsid w:val="007B022B"/>
    <w:rsid w:val="007B0889"/>
    <w:rsid w:val="007B1181"/>
    <w:rsid w:val="007B14C2"/>
    <w:rsid w:val="007B1676"/>
    <w:rsid w:val="007B2176"/>
    <w:rsid w:val="007B2208"/>
    <w:rsid w:val="007B2331"/>
    <w:rsid w:val="007B2FE1"/>
    <w:rsid w:val="007B38B1"/>
    <w:rsid w:val="007B3A81"/>
    <w:rsid w:val="007B3DDF"/>
    <w:rsid w:val="007B4063"/>
    <w:rsid w:val="007B44C3"/>
    <w:rsid w:val="007B4DF4"/>
    <w:rsid w:val="007B5259"/>
    <w:rsid w:val="007B5381"/>
    <w:rsid w:val="007B61D8"/>
    <w:rsid w:val="007B6BEA"/>
    <w:rsid w:val="007B6E68"/>
    <w:rsid w:val="007B6FE5"/>
    <w:rsid w:val="007B7309"/>
    <w:rsid w:val="007B7E1F"/>
    <w:rsid w:val="007C1147"/>
    <w:rsid w:val="007C17DA"/>
    <w:rsid w:val="007C246B"/>
    <w:rsid w:val="007C298E"/>
    <w:rsid w:val="007C2EC2"/>
    <w:rsid w:val="007C3A65"/>
    <w:rsid w:val="007C3E8B"/>
    <w:rsid w:val="007C41DB"/>
    <w:rsid w:val="007C4F8F"/>
    <w:rsid w:val="007C54E9"/>
    <w:rsid w:val="007C5622"/>
    <w:rsid w:val="007C6552"/>
    <w:rsid w:val="007C6AA1"/>
    <w:rsid w:val="007C6AB0"/>
    <w:rsid w:val="007C6D3E"/>
    <w:rsid w:val="007C6DBD"/>
    <w:rsid w:val="007C7D31"/>
    <w:rsid w:val="007D02BF"/>
    <w:rsid w:val="007D097A"/>
    <w:rsid w:val="007D0C59"/>
    <w:rsid w:val="007D12D1"/>
    <w:rsid w:val="007D1341"/>
    <w:rsid w:val="007D13A6"/>
    <w:rsid w:val="007D1E95"/>
    <w:rsid w:val="007D1F62"/>
    <w:rsid w:val="007D20A0"/>
    <w:rsid w:val="007D21F1"/>
    <w:rsid w:val="007D3B06"/>
    <w:rsid w:val="007D4021"/>
    <w:rsid w:val="007D42E0"/>
    <w:rsid w:val="007D470B"/>
    <w:rsid w:val="007D4836"/>
    <w:rsid w:val="007D49B1"/>
    <w:rsid w:val="007D55CF"/>
    <w:rsid w:val="007D6633"/>
    <w:rsid w:val="007D68C1"/>
    <w:rsid w:val="007D6B28"/>
    <w:rsid w:val="007D6CC8"/>
    <w:rsid w:val="007D6F58"/>
    <w:rsid w:val="007D6FCA"/>
    <w:rsid w:val="007D7E37"/>
    <w:rsid w:val="007E1199"/>
    <w:rsid w:val="007E1533"/>
    <w:rsid w:val="007E16A6"/>
    <w:rsid w:val="007E1FCB"/>
    <w:rsid w:val="007E26A6"/>
    <w:rsid w:val="007E2DAB"/>
    <w:rsid w:val="007E32AC"/>
    <w:rsid w:val="007E46D8"/>
    <w:rsid w:val="007E4A3C"/>
    <w:rsid w:val="007E4B64"/>
    <w:rsid w:val="007E4D60"/>
    <w:rsid w:val="007E4E4A"/>
    <w:rsid w:val="007E60DB"/>
    <w:rsid w:val="007E6357"/>
    <w:rsid w:val="007E63D5"/>
    <w:rsid w:val="007E6AE7"/>
    <w:rsid w:val="007E6C6C"/>
    <w:rsid w:val="007E6D82"/>
    <w:rsid w:val="007E7232"/>
    <w:rsid w:val="007E73B6"/>
    <w:rsid w:val="007E7658"/>
    <w:rsid w:val="007E790C"/>
    <w:rsid w:val="007E7C27"/>
    <w:rsid w:val="007F05F9"/>
    <w:rsid w:val="007F072B"/>
    <w:rsid w:val="007F0CDA"/>
    <w:rsid w:val="007F10CA"/>
    <w:rsid w:val="007F1125"/>
    <w:rsid w:val="007F120B"/>
    <w:rsid w:val="007F22A7"/>
    <w:rsid w:val="007F31B1"/>
    <w:rsid w:val="007F3B3E"/>
    <w:rsid w:val="007F437A"/>
    <w:rsid w:val="007F4442"/>
    <w:rsid w:val="007F4ABE"/>
    <w:rsid w:val="007F4C96"/>
    <w:rsid w:val="007F4E9C"/>
    <w:rsid w:val="007F50CE"/>
    <w:rsid w:val="007F5B4E"/>
    <w:rsid w:val="007F62B2"/>
    <w:rsid w:val="007F6585"/>
    <w:rsid w:val="007F668E"/>
    <w:rsid w:val="007F698C"/>
    <w:rsid w:val="007F7664"/>
    <w:rsid w:val="007F7991"/>
    <w:rsid w:val="007F7CE6"/>
    <w:rsid w:val="00800768"/>
    <w:rsid w:val="00801C5B"/>
    <w:rsid w:val="00801DC3"/>
    <w:rsid w:val="00801FB0"/>
    <w:rsid w:val="008025A6"/>
    <w:rsid w:val="00802925"/>
    <w:rsid w:val="00803079"/>
    <w:rsid w:val="00803697"/>
    <w:rsid w:val="00804842"/>
    <w:rsid w:val="00804D91"/>
    <w:rsid w:val="008050B6"/>
    <w:rsid w:val="0080573C"/>
    <w:rsid w:val="00805D3D"/>
    <w:rsid w:val="00805F95"/>
    <w:rsid w:val="008064A4"/>
    <w:rsid w:val="00806686"/>
    <w:rsid w:val="00806896"/>
    <w:rsid w:val="008079C9"/>
    <w:rsid w:val="00807D77"/>
    <w:rsid w:val="00807E71"/>
    <w:rsid w:val="008100CB"/>
    <w:rsid w:val="00812139"/>
    <w:rsid w:val="00812221"/>
    <w:rsid w:val="00812260"/>
    <w:rsid w:val="00812328"/>
    <w:rsid w:val="0081318D"/>
    <w:rsid w:val="00813397"/>
    <w:rsid w:val="00814806"/>
    <w:rsid w:val="008152D0"/>
    <w:rsid w:val="00815DCD"/>
    <w:rsid w:val="00815EA9"/>
    <w:rsid w:val="00815F06"/>
    <w:rsid w:val="008169C2"/>
    <w:rsid w:val="00816CDE"/>
    <w:rsid w:val="00816E4F"/>
    <w:rsid w:val="008174CE"/>
    <w:rsid w:val="0081758B"/>
    <w:rsid w:val="008177AE"/>
    <w:rsid w:val="0081795D"/>
    <w:rsid w:val="00821182"/>
    <w:rsid w:val="008228C8"/>
    <w:rsid w:val="00822D4C"/>
    <w:rsid w:val="008230B4"/>
    <w:rsid w:val="00823628"/>
    <w:rsid w:val="00824AC8"/>
    <w:rsid w:val="00824BDF"/>
    <w:rsid w:val="00825ED3"/>
    <w:rsid w:val="00826825"/>
    <w:rsid w:val="00826D8A"/>
    <w:rsid w:val="0082719D"/>
    <w:rsid w:val="00827359"/>
    <w:rsid w:val="00827518"/>
    <w:rsid w:val="0083045B"/>
    <w:rsid w:val="008308B1"/>
    <w:rsid w:val="0083156F"/>
    <w:rsid w:val="00831A2C"/>
    <w:rsid w:val="00831ED9"/>
    <w:rsid w:val="00831F58"/>
    <w:rsid w:val="00832503"/>
    <w:rsid w:val="008333D5"/>
    <w:rsid w:val="00835284"/>
    <w:rsid w:val="00835E48"/>
    <w:rsid w:val="00835F4F"/>
    <w:rsid w:val="008360D9"/>
    <w:rsid w:val="0083615B"/>
    <w:rsid w:val="008362ED"/>
    <w:rsid w:val="0083645D"/>
    <w:rsid w:val="00836ADA"/>
    <w:rsid w:val="00836BC2"/>
    <w:rsid w:val="00837280"/>
    <w:rsid w:val="008372A1"/>
    <w:rsid w:val="00837ED5"/>
    <w:rsid w:val="008404B6"/>
    <w:rsid w:val="00840A7B"/>
    <w:rsid w:val="00841070"/>
    <w:rsid w:val="0084160B"/>
    <w:rsid w:val="00841DB7"/>
    <w:rsid w:val="00842063"/>
    <w:rsid w:val="00842B8D"/>
    <w:rsid w:val="00842F78"/>
    <w:rsid w:val="00843174"/>
    <w:rsid w:val="008433D8"/>
    <w:rsid w:val="00843773"/>
    <w:rsid w:val="00843CD7"/>
    <w:rsid w:val="008440DC"/>
    <w:rsid w:val="00844371"/>
    <w:rsid w:val="0084456B"/>
    <w:rsid w:val="00844867"/>
    <w:rsid w:val="00844B6E"/>
    <w:rsid w:val="00845016"/>
    <w:rsid w:val="00845182"/>
    <w:rsid w:val="008452F8"/>
    <w:rsid w:val="00845B31"/>
    <w:rsid w:val="00845D1C"/>
    <w:rsid w:val="00845F8D"/>
    <w:rsid w:val="00846817"/>
    <w:rsid w:val="00846819"/>
    <w:rsid w:val="008468F6"/>
    <w:rsid w:val="00846A07"/>
    <w:rsid w:val="00846F20"/>
    <w:rsid w:val="00847CBE"/>
    <w:rsid w:val="00847DF7"/>
    <w:rsid w:val="00850243"/>
    <w:rsid w:val="008509A5"/>
    <w:rsid w:val="008509B4"/>
    <w:rsid w:val="00850B34"/>
    <w:rsid w:val="00850CD4"/>
    <w:rsid w:val="00850E79"/>
    <w:rsid w:val="00852098"/>
    <w:rsid w:val="00852137"/>
    <w:rsid w:val="008521C9"/>
    <w:rsid w:val="0085222C"/>
    <w:rsid w:val="008522F1"/>
    <w:rsid w:val="00852AF8"/>
    <w:rsid w:val="00852CC2"/>
    <w:rsid w:val="00853238"/>
    <w:rsid w:val="00853787"/>
    <w:rsid w:val="00853C02"/>
    <w:rsid w:val="00853EA7"/>
    <w:rsid w:val="0085413C"/>
    <w:rsid w:val="0085478A"/>
    <w:rsid w:val="0085479F"/>
    <w:rsid w:val="00856F4A"/>
    <w:rsid w:val="00857801"/>
    <w:rsid w:val="00857D27"/>
    <w:rsid w:val="008605C3"/>
    <w:rsid w:val="00860B6B"/>
    <w:rsid w:val="00860BED"/>
    <w:rsid w:val="00860CE6"/>
    <w:rsid w:val="00861DA3"/>
    <w:rsid w:val="00862443"/>
    <w:rsid w:val="008628A9"/>
    <w:rsid w:val="008629BE"/>
    <w:rsid w:val="00863885"/>
    <w:rsid w:val="00863B83"/>
    <w:rsid w:val="00863DDF"/>
    <w:rsid w:val="00864191"/>
    <w:rsid w:val="0086424D"/>
    <w:rsid w:val="00864467"/>
    <w:rsid w:val="00864648"/>
    <w:rsid w:val="00864EBF"/>
    <w:rsid w:val="00865DA8"/>
    <w:rsid w:val="00866987"/>
    <w:rsid w:val="008675A7"/>
    <w:rsid w:val="00867621"/>
    <w:rsid w:val="0086791C"/>
    <w:rsid w:val="00867F74"/>
    <w:rsid w:val="00870EF5"/>
    <w:rsid w:val="00871764"/>
    <w:rsid w:val="008720DF"/>
    <w:rsid w:val="00873886"/>
    <w:rsid w:val="00873FF6"/>
    <w:rsid w:val="0087419C"/>
    <w:rsid w:val="008748F3"/>
    <w:rsid w:val="00874AF6"/>
    <w:rsid w:val="008758D7"/>
    <w:rsid w:val="0087598B"/>
    <w:rsid w:val="00875F91"/>
    <w:rsid w:val="00876040"/>
    <w:rsid w:val="00876A0B"/>
    <w:rsid w:val="00876B00"/>
    <w:rsid w:val="00877322"/>
    <w:rsid w:val="00877883"/>
    <w:rsid w:val="008779D8"/>
    <w:rsid w:val="00880427"/>
    <w:rsid w:val="008805AF"/>
    <w:rsid w:val="0088144B"/>
    <w:rsid w:val="00882102"/>
    <w:rsid w:val="00882E04"/>
    <w:rsid w:val="008833EA"/>
    <w:rsid w:val="008834BB"/>
    <w:rsid w:val="008835D9"/>
    <w:rsid w:val="00883E17"/>
    <w:rsid w:val="00884BA3"/>
    <w:rsid w:val="00884E44"/>
    <w:rsid w:val="00885425"/>
    <w:rsid w:val="0088577C"/>
    <w:rsid w:val="0088629A"/>
    <w:rsid w:val="00886A57"/>
    <w:rsid w:val="00887BDA"/>
    <w:rsid w:val="0089027C"/>
    <w:rsid w:val="00890700"/>
    <w:rsid w:val="00890A76"/>
    <w:rsid w:val="00891578"/>
    <w:rsid w:val="0089188F"/>
    <w:rsid w:val="00891A42"/>
    <w:rsid w:val="00891A72"/>
    <w:rsid w:val="00891BF2"/>
    <w:rsid w:val="00892873"/>
    <w:rsid w:val="00892F26"/>
    <w:rsid w:val="0089349F"/>
    <w:rsid w:val="00893B1F"/>
    <w:rsid w:val="00894830"/>
    <w:rsid w:val="008950D4"/>
    <w:rsid w:val="008959F9"/>
    <w:rsid w:val="00896350"/>
    <w:rsid w:val="00897386"/>
    <w:rsid w:val="008973AD"/>
    <w:rsid w:val="00897C7B"/>
    <w:rsid w:val="008A0036"/>
    <w:rsid w:val="008A0A4F"/>
    <w:rsid w:val="008A0D3B"/>
    <w:rsid w:val="008A0ED5"/>
    <w:rsid w:val="008A13C7"/>
    <w:rsid w:val="008A1BDC"/>
    <w:rsid w:val="008A2B51"/>
    <w:rsid w:val="008A2F46"/>
    <w:rsid w:val="008A304B"/>
    <w:rsid w:val="008A33BB"/>
    <w:rsid w:val="008A33C1"/>
    <w:rsid w:val="008A3AF8"/>
    <w:rsid w:val="008A41D2"/>
    <w:rsid w:val="008A4571"/>
    <w:rsid w:val="008A460B"/>
    <w:rsid w:val="008A4B9A"/>
    <w:rsid w:val="008A4FC4"/>
    <w:rsid w:val="008A64D7"/>
    <w:rsid w:val="008A650B"/>
    <w:rsid w:val="008A6557"/>
    <w:rsid w:val="008A723D"/>
    <w:rsid w:val="008A7522"/>
    <w:rsid w:val="008A797C"/>
    <w:rsid w:val="008B0081"/>
    <w:rsid w:val="008B0277"/>
    <w:rsid w:val="008B1D8A"/>
    <w:rsid w:val="008B22A5"/>
    <w:rsid w:val="008B2656"/>
    <w:rsid w:val="008B27CF"/>
    <w:rsid w:val="008B33A1"/>
    <w:rsid w:val="008B4228"/>
    <w:rsid w:val="008B4B48"/>
    <w:rsid w:val="008B51E8"/>
    <w:rsid w:val="008B52DC"/>
    <w:rsid w:val="008B5BF4"/>
    <w:rsid w:val="008B634C"/>
    <w:rsid w:val="008B6E38"/>
    <w:rsid w:val="008B79E0"/>
    <w:rsid w:val="008B7A74"/>
    <w:rsid w:val="008B7AD9"/>
    <w:rsid w:val="008B7B3F"/>
    <w:rsid w:val="008C09DC"/>
    <w:rsid w:val="008C0B3A"/>
    <w:rsid w:val="008C0C80"/>
    <w:rsid w:val="008C0C9B"/>
    <w:rsid w:val="008C0D7D"/>
    <w:rsid w:val="008C13CB"/>
    <w:rsid w:val="008C16D1"/>
    <w:rsid w:val="008C17A0"/>
    <w:rsid w:val="008C191D"/>
    <w:rsid w:val="008C2001"/>
    <w:rsid w:val="008C26E4"/>
    <w:rsid w:val="008C2A41"/>
    <w:rsid w:val="008C2DD0"/>
    <w:rsid w:val="008C35F9"/>
    <w:rsid w:val="008C3B01"/>
    <w:rsid w:val="008C67B4"/>
    <w:rsid w:val="008C6EE2"/>
    <w:rsid w:val="008C6F5E"/>
    <w:rsid w:val="008C7629"/>
    <w:rsid w:val="008C776D"/>
    <w:rsid w:val="008C7B83"/>
    <w:rsid w:val="008C7C87"/>
    <w:rsid w:val="008C7D0F"/>
    <w:rsid w:val="008D0349"/>
    <w:rsid w:val="008D08F5"/>
    <w:rsid w:val="008D1337"/>
    <w:rsid w:val="008D1385"/>
    <w:rsid w:val="008D2A76"/>
    <w:rsid w:val="008D321E"/>
    <w:rsid w:val="008D32D8"/>
    <w:rsid w:val="008D3522"/>
    <w:rsid w:val="008D36B6"/>
    <w:rsid w:val="008D38CC"/>
    <w:rsid w:val="008D3AD0"/>
    <w:rsid w:val="008D44AA"/>
    <w:rsid w:val="008D5518"/>
    <w:rsid w:val="008D609E"/>
    <w:rsid w:val="008D6DE8"/>
    <w:rsid w:val="008D6F8B"/>
    <w:rsid w:val="008D707A"/>
    <w:rsid w:val="008D77C2"/>
    <w:rsid w:val="008E0843"/>
    <w:rsid w:val="008E08B4"/>
    <w:rsid w:val="008E0A6A"/>
    <w:rsid w:val="008E0F19"/>
    <w:rsid w:val="008E0FB3"/>
    <w:rsid w:val="008E16A3"/>
    <w:rsid w:val="008E16CA"/>
    <w:rsid w:val="008E180D"/>
    <w:rsid w:val="008E1D0D"/>
    <w:rsid w:val="008E2472"/>
    <w:rsid w:val="008E345F"/>
    <w:rsid w:val="008E3575"/>
    <w:rsid w:val="008E38BC"/>
    <w:rsid w:val="008E3E27"/>
    <w:rsid w:val="008E4C3F"/>
    <w:rsid w:val="008E53A2"/>
    <w:rsid w:val="008E562D"/>
    <w:rsid w:val="008E57AE"/>
    <w:rsid w:val="008E583A"/>
    <w:rsid w:val="008E5873"/>
    <w:rsid w:val="008E5A63"/>
    <w:rsid w:val="008E69C5"/>
    <w:rsid w:val="008E6AAC"/>
    <w:rsid w:val="008E6C19"/>
    <w:rsid w:val="008E6FE4"/>
    <w:rsid w:val="008E7528"/>
    <w:rsid w:val="008F086E"/>
    <w:rsid w:val="008F09E3"/>
    <w:rsid w:val="008F0C09"/>
    <w:rsid w:val="008F27C1"/>
    <w:rsid w:val="008F2A9E"/>
    <w:rsid w:val="008F3903"/>
    <w:rsid w:val="008F3A81"/>
    <w:rsid w:val="008F3E94"/>
    <w:rsid w:val="008F3EDE"/>
    <w:rsid w:val="008F4288"/>
    <w:rsid w:val="008F4340"/>
    <w:rsid w:val="008F43E9"/>
    <w:rsid w:val="008F51A4"/>
    <w:rsid w:val="008F530F"/>
    <w:rsid w:val="008F5A63"/>
    <w:rsid w:val="008F62B1"/>
    <w:rsid w:val="008F640D"/>
    <w:rsid w:val="008F6763"/>
    <w:rsid w:val="008F6D33"/>
    <w:rsid w:val="008F75ED"/>
    <w:rsid w:val="008F762C"/>
    <w:rsid w:val="008F76CA"/>
    <w:rsid w:val="008F7DFE"/>
    <w:rsid w:val="00900A46"/>
    <w:rsid w:val="009013DF"/>
    <w:rsid w:val="00902AB3"/>
    <w:rsid w:val="00903C89"/>
    <w:rsid w:val="00904553"/>
    <w:rsid w:val="00904F88"/>
    <w:rsid w:val="0090513E"/>
    <w:rsid w:val="00905A70"/>
    <w:rsid w:val="00905B06"/>
    <w:rsid w:val="00907118"/>
    <w:rsid w:val="0090749A"/>
    <w:rsid w:val="0091077D"/>
    <w:rsid w:val="00910C1A"/>
    <w:rsid w:val="00910E40"/>
    <w:rsid w:val="009115E3"/>
    <w:rsid w:val="00911B1C"/>
    <w:rsid w:val="00911E6B"/>
    <w:rsid w:val="0091215D"/>
    <w:rsid w:val="00912AB2"/>
    <w:rsid w:val="0091303B"/>
    <w:rsid w:val="00913755"/>
    <w:rsid w:val="00913957"/>
    <w:rsid w:val="00913AE1"/>
    <w:rsid w:val="009145C8"/>
    <w:rsid w:val="00914918"/>
    <w:rsid w:val="00915322"/>
    <w:rsid w:val="009157DD"/>
    <w:rsid w:val="00915CCE"/>
    <w:rsid w:val="00917095"/>
    <w:rsid w:val="009173C3"/>
    <w:rsid w:val="00917FCF"/>
    <w:rsid w:val="0092018A"/>
    <w:rsid w:val="009203F0"/>
    <w:rsid w:val="0092064B"/>
    <w:rsid w:val="009206B1"/>
    <w:rsid w:val="0092148A"/>
    <w:rsid w:val="0092401F"/>
    <w:rsid w:val="009242A5"/>
    <w:rsid w:val="009249D6"/>
    <w:rsid w:val="00925A6E"/>
    <w:rsid w:val="00925D66"/>
    <w:rsid w:val="00926108"/>
    <w:rsid w:val="009267A2"/>
    <w:rsid w:val="009273D1"/>
    <w:rsid w:val="00927A87"/>
    <w:rsid w:val="00927DCF"/>
    <w:rsid w:val="009304F8"/>
    <w:rsid w:val="009308AD"/>
    <w:rsid w:val="00931F8C"/>
    <w:rsid w:val="00932419"/>
    <w:rsid w:val="00932821"/>
    <w:rsid w:val="00933AA9"/>
    <w:rsid w:val="00933DF3"/>
    <w:rsid w:val="00935783"/>
    <w:rsid w:val="00935DDC"/>
    <w:rsid w:val="00937672"/>
    <w:rsid w:val="009379BE"/>
    <w:rsid w:val="00937F18"/>
    <w:rsid w:val="0094060C"/>
    <w:rsid w:val="009407A5"/>
    <w:rsid w:val="009422C9"/>
    <w:rsid w:val="0094273A"/>
    <w:rsid w:val="0094274F"/>
    <w:rsid w:val="00942EF9"/>
    <w:rsid w:val="00943884"/>
    <w:rsid w:val="00943E96"/>
    <w:rsid w:val="00944049"/>
    <w:rsid w:val="009445CF"/>
    <w:rsid w:val="009447BC"/>
    <w:rsid w:val="0094496B"/>
    <w:rsid w:val="009451DA"/>
    <w:rsid w:val="00945910"/>
    <w:rsid w:val="00945A9B"/>
    <w:rsid w:val="00945AB1"/>
    <w:rsid w:val="00946440"/>
    <w:rsid w:val="0094688D"/>
    <w:rsid w:val="009469F9"/>
    <w:rsid w:val="009470F7"/>
    <w:rsid w:val="009471E1"/>
    <w:rsid w:val="00947453"/>
    <w:rsid w:val="009503C9"/>
    <w:rsid w:val="00952628"/>
    <w:rsid w:val="00952694"/>
    <w:rsid w:val="00952DBC"/>
    <w:rsid w:val="009539B9"/>
    <w:rsid w:val="00954226"/>
    <w:rsid w:val="0095517F"/>
    <w:rsid w:val="009556E1"/>
    <w:rsid w:val="00956178"/>
    <w:rsid w:val="00956403"/>
    <w:rsid w:val="009566C8"/>
    <w:rsid w:val="00956C10"/>
    <w:rsid w:val="00956D86"/>
    <w:rsid w:val="00956DE4"/>
    <w:rsid w:val="00956E56"/>
    <w:rsid w:val="00957863"/>
    <w:rsid w:val="009579DE"/>
    <w:rsid w:val="00957AEB"/>
    <w:rsid w:val="0096029D"/>
    <w:rsid w:val="009604BF"/>
    <w:rsid w:val="00960521"/>
    <w:rsid w:val="009609EA"/>
    <w:rsid w:val="00961292"/>
    <w:rsid w:val="0096238E"/>
    <w:rsid w:val="00962EAE"/>
    <w:rsid w:val="00962FC9"/>
    <w:rsid w:val="00964418"/>
    <w:rsid w:val="0096498C"/>
    <w:rsid w:val="00964BBF"/>
    <w:rsid w:val="009657D4"/>
    <w:rsid w:val="00965C7B"/>
    <w:rsid w:val="00966B04"/>
    <w:rsid w:val="00966C0F"/>
    <w:rsid w:val="00967124"/>
    <w:rsid w:val="00967A5B"/>
    <w:rsid w:val="00971A08"/>
    <w:rsid w:val="00971E39"/>
    <w:rsid w:val="00972A00"/>
    <w:rsid w:val="00972CBF"/>
    <w:rsid w:val="0097343A"/>
    <w:rsid w:val="00973D03"/>
    <w:rsid w:val="00974BE8"/>
    <w:rsid w:val="00974EFC"/>
    <w:rsid w:val="00975306"/>
    <w:rsid w:val="009754C1"/>
    <w:rsid w:val="0097570F"/>
    <w:rsid w:val="009758C2"/>
    <w:rsid w:val="00976371"/>
    <w:rsid w:val="00976F73"/>
    <w:rsid w:val="00977B54"/>
    <w:rsid w:val="00980691"/>
    <w:rsid w:val="00980DF6"/>
    <w:rsid w:val="009811E0"/>
    <w:rsid w:val="00981B8B"/>
    <w:rsid w:val="00981CD3"/>
    <w:rsid w:val="00981E2F"/>
    <w:rsid w:val="00982094"/>
    <w:rsid w:val="00982F12"/>
    <w:rsid w:val="00983F67"/>
    <w:rsid w:val="00984E2B"/>
    <w:rsid w:val="00985875"/>
    <w:rsid w:val="00985CB4"/>
    <w:rsid w:val="0098682D"/>
    <w:rsid w:val="009868FB"/>
    <w:rsid w:val="009872D9"/>
    <w:rsid w:val="00987330"/>
    <w:rsid w:val="00987439"/>
    <w:rsid w:val="009874DA"/>
    <w:rsid w:val="0098754C"/>
    <w:rsid w:val="009876EA"/>
    <w:rsid w:val="00987F20"/>
    <w:rsid w:val="009907DF"/>
    <w:rsid w:val="0099088E"/>
    <w:rsid w:val="00991C71"/>
    <w:rsid w:val="00992304"/>
    <w:rsid w:val="009923D9"/>
    <w:rsid w:val="00992793"/>
    <w:rsid w:val="00993303"/>
    <w:rsid w:val="00993467"/>
    <w:rsid w:val="0099374F"/>
    <w:rsid w:val="00993CFB"/>
    <w:rsid w:val="00993DB5"/>
    <w:rsid w:val="009940F3"/>
    <w:rsid w:val="0099579F"/>
    <w:rsid w:val="009958D4"/>
    <w:rsid w:val="00995989"/>
    <w:rsid w:val="00996A65"/>
    <w:rsid w:val="00997103"/>
    <w:rsid w:val="009971F8"/>
    <w:rsid w:val="0099750F"/>
    <w:rsid w:val="00997532"/>
    <w:rsid w:val="00997CB9"/>
    <w:rsid w:val="00997CC5"/>
    <w:rsid w:val="009A1152"/>
    <w:rsid w:val="009A141C"/>
    <w:rsid w:val="009A1D55"/>
    <w:rsid w:val="009A2B3C"/>
    <w:rsid w:val="009A3857"/>
    <w:rsid w:val="009A3981"/>
    <w:rsid w:val="009A400F"/>
    <w:rsid w:val="009A474A"/>
    <w:rsid w:val="009A4857"/>
    <w:rsid w:val="009A4D31"/>
    <w:rsid w:val="009A4DAB"/>
    <w:rsid w:val="009A616F"/>
    <w:rsid w:val="009A675B"/>
    <w:rsid w:val="009A6AE7"/>
    <w:rsid w:val="009A6F4E"/>
    <w:rsid w:val="009A7A81"/>
    <w:rsid w:val="009A7BFF"/>
    <w:rsid w:val="009B08F6"/>
    <w:rsid w:val="009B135F"/>
    <w:rsid w:val="009B15D3"/>
    <w:rsid w:val="009B322D"/>
    <w:rsid w:val="009B32B5"/>
    <w:rsid w:val="009B3324"/>
    <w:rsid w:val="009B37D9"/>
    <w:rsid w:val="009B412D"/>
    <w:rsid w:val="009B532D"/>
    <w:rsid w:val="009B5E52"/>
    <w:rsid w:val="009B5EC1"/>
    <w:rsid w:val="009B5F0B"/>
    <w:rsid w:val="009B6062"/>
    <w:rsid w:val="009B664F"/>
    <w:rsid w:val="009B6685"/>
    <w:rsid w:val="009B7202"/>
    <w:rsid w:val="009B7939"/>
    <w:rsid w:val="009B7BC7"/>
    <w:rsid w:val="009B7BDA"/>
    <w:rsid w:val="009C09D1"/>
    <w:rsid w:val="009C0CE1"/>
    <w:rsid w:val="009C1401"/>
    <w:rsid w:val="009C2777"/>
    <w:rsid w:val="009C31B0"/>
    <w:rsid w:val="009C358B"/>
    <w:rsid w:val="009C43B1"/>
    <w:rsid w:val="009C56D7"/>
    <w:rsid w:val="009C5ECF"/>
    <w:rsid w:val="009C69F1"/>
    <w:rsid w:val="009C6F8F"/>
    <w:rsid w:val="009C744E"/>
    <w:rsid w:val="009C74B2"/>
    <w:rsid w:val="009C790D"/>
    <w:rsid w:val="009C7AB6"/>
    <w:rsid w:val="009C7F3F"/>
    <w:rsid w:val="009D05B9"/>
    <w:rsid w:val="009D07B9"/>
    <w:rsid w:val="009D106A"/>
    <w:rsid w:val="009D1179"/>
    <w:rsid w:val="009D1766"/>
    <w:rsid w:val="009D219F"/>
    <w:rsid w:val="009D2D43"/>
    <w:rsid w:val="009D2E92"/>
    <w:rsid w:val="009D371B"/>
    <w:rsid w:val="009D3D79"/>
    <w:rsid w:val="009D3F7C"/>
    <w:rsid w:val="009D4F49"/>
    <w:rsid w:val="009D5BB0"/>
    <w:rsid w:val="009D6E17"/>
    <w:rsid w:val="009D7171"/>
    <w:rsid w:val="009D76D6"/>
    <w:rsid w:val="009D776F"/>
    <w:rsid w:val="009D797E"/>
    <w:rsid w:val="009E08B2"/>
    <w:rsid w:val="009E0D6B"/>
    <w:rsid w:val="009E1BDA"/>
    <w:rsid w:val="009E1DE9"/>
    <w:rsid w:val="009E234A"/>
    <w:rsid w:val="009E2379"/>
    <w:rsid w:val="009E241E"/>
    <w:rsid w:val="009E264B"/>
    <w:rsid w:val="009E2736"/>
    <w:rsid w:val="009E3201"/>
    <w:rsid w:val="009E3C60"/>
    <w:rsid w:val="009E4F67"/>
    <w:rsid w:val="009E5251"/>
    <w:rsid w:val="009E57CB"/>
    <w:rsid w:val="009E63D2"/>
    <w:rsid w:val="009E7D40"/>
    <w:rsid w:val="009F1410"/>
    <w:rsid w:val="009F18F7"/>
    <w:rsid w:val="009F1B88"/>
    <w:rsid w:val="009F1CC6"/>
    <w:rsid w:val="009F4205"/>
    <w:rsid w:val="009F42E2"/>
    <w:rsid w:val="009F4396"/>
    <w:rsid w:val="009F4BB5"/>
    <w:rsid w:val="009F5A52"/>
    <w:rsid w:val="009F5E53"/>
    <w:rsid w:val="009F659D"/>
    <w:rsid w:val="009F71D7"/>
    <w:rsid w:val="009F71F8"/>
    <w:rsid w:val="009F71FB"/>
    <w:rsid w:val="00A00DF5"/>
    <w:rsid w:val="00A011EF"/>
    <w:rsid w:val="00A013E8"/>
    <w:rsid w:val="00A017F1"/>
    <w:rsid w:val="00A02040"/>
    <w:rsid w:val="00A024ED"/>
    <w:rsid w:val="00A02E3B"/>
    <w:rsid w:val="00A03342"/>
    <w:rsid w:val="00A03560"/>
    <w:rsid w:val="00A03A37"/>
    <w:rsid w:val="00A04023"/>
    <w:rsid w:val="00A04BDA"/>
    <w:rsid w:val="00A052BD"/>
    <w:rsid w:val="00A06773"/>
    <w:rsid w:val="00A067B8"/>
    <w:rsid w:val="00A07124"/>
    <w:rsid w:val="00A07564"/>
    <w:rsid w:val="00A07A5D"/>
    <w:rsid w:val="00A07ACA"/>
    <w:rsid w:val="00A07D75"/>
    <w:rsid w:val="00A1081C"/>
    <w:rsid w:val="00A11020"/>
    <w:rsid w:val="00A117DB"/>
    <w:rsid w:val="00A1203C"/>
    <w:rsid w:val="00A121EC"/>
    <w:rsid w:val="00A125EC"/>
    <w:rsid w:val="00A13121"/>
    <w:rsid w:val="00A13F54"/>
    <w:rsid w:val="00A14351"/>
    <w:rsid w:val="00A14DA2"/>
    <w:rsid w:val="00A14E76"/>
    <w:rsid w:val="00A1505E"/>
    <w:rsid w:val="00A1598E"/>
    <w:rsid w:val="00A20298"/>
    <w:rsid w:val="00A2057B"/>
    <w:rsid w:val="00A20816"/>
    <w:rsid w:val="00A20A16"/>
    <w:rsid w:val="00A2163B"/>
    <w:rsid w:val="00A22983"/>
    <w:rsid w:val="00A22AF2"/>
    <w:rsid w:val="00A232A4"/>
    <w:rsid w:val="00A23DAB"/>
    <w:rsid w:val="00A2423A"/>
    <w:rsid w:val="00A24424"/>
    <w:rsid w:val="00A24AEB"/>
    <w:rsid w:val="00A24F29"/>
    <w:rsid w:val="00A2559A"/>
    <w:rsid w:val="00A2591C"/>
    <w:rsid w:val="00A2620D"/>
    <w:rsid w:val="00A26448"/>
    <w:rsid w:val="00A26685"/>
    <w:rsid w:val="00A26F8F"/>
    <w:rsid w:val="00A27250"/>
    <w:rsid w:val="00A276E0"/>
    <w:rsid w:val="00A27EC9"/>
    <w:rsid w:val="00A27F1E"/>
    <w:rsid w:val="00A30775"/>
    <w:rsid w:val="00A30B27"/>
    <w:rsid w:val="00A31973"/>
    <w:rsid w:val="00A319BB"/>
    <w:rsid w:val="00A31D70"/>
    <w:rsid w:val="00A31E05"/>
    <w:rsid w:val="00A324FE"/>
    <w:rsid w:val="00A32A74"/>
    <w:rsid w:val="00A32CF8"/>
    <w:rsid w:val="00A32ECA"/>
    <w:rsid w:val="00A32F96"/>
    <w:rsid w:val="00A3320E"/>
    <w:rsid w:val="00A33829"/>
    <w:rsid w:val="00A3399E"/>
    <w:rsid w:val="00A34E50"/>
    <w:rsid w:val="00A35899"/>
    <w:rsid w:val="00A35CE8"/>
    <w:rsid w:val="00A3684C"/>
    <w:rsid w:val="00A3788A"/>
    <w:rsid w:val="00A4002C"/>
    <w:rsid w:val="00A402D3"/>
    <w:rsid w:val="00A4048E"/>
    <w:rsid w:val="00A40524"/>
    <w:rsid w:val="00A414BF"/>
    <w:rsid w:val="00A418EE"/>
    <w:rsid w:val="00A42AE0"/>
    <w:rsid w:val="00A4342D"/>
    <w:rsid w:val="00A43EF2"/>
    <w:rsid w:val="00A44ADC"/>
    <w:rsid w:val="00A44C50"/>
    <w:rsid w:val="00A451AF"/>
    <w:rsid w:val="00A4626C"/>
    <w:rsid w:val="00A467AF"/>
    <w:rsid w:val="00A4695E"/>
    <w:rsid w:val="00A46A8D"/>
    <w:rsid w:val="00A4787A"/>
    <w:rsid w:val="00A50A6D"/>
    <w:rsid w:val="00A50E37"/>
    <w:rsid w:val="00A514E2"/>
    <w:rsid w:val="00A52964"/>
    <w:rsid w:val="00A52D43"/>
    <w:rsid w:val="00A52F24"/>
    <w:rsid w:val="00A5316A"/>
    <w:rsid w:val="00A53743"/>
    <w:rsid w:val="00A541C3"/>
    <w:rsid w:val="00A55633"/>
    <w:rsid w:val="00A5627F"/>
    <w:rsid w:val="00A563BC"/>
    <w:rsid w:val="00A56977"/>
    <w:rsid w:val="00A576D8"/>
    <w:rsid w:val="00A5774F"/>
    <w:rsid w:val="00A60571"/>
    <w:rsid w:val="00A6084C"/>
    <w:rsid w:val="00A60A99"/>
    <w:rsid w:val="00A61017"/>
    <w:rsid w:val="00A6182E"/>
    <w:rsid w:val="00A61927"/>
    <w:rsid w:val="00A61CA4"/>
    <w:rsid w:val="00A61F40"/>
    <w:rsid w:val="00A62387"/>
    <w:rsid w:val="00A63307"/>
    <w:rsid w:val="00A63610"/>
    <w:rsid w:val="00A63932"/>
    <w:rsid w:val="00A64B99"/>
    <w:rsid w:val="00A64FFA"/>
    <w:rsid w:val="00A652CA"/>
    <w:rsid w:val="00A653F0"/>
    <w:rsid w:val="00A6576A"/>
    <w:rsid w:val="00A659EF"/>
    <w:rsid w:val="00A66D54"/>
    <w:rsid w:val="00A67534"/>
    <w:rsid w:val="00A67C70"/>
    <w:rsid w:val="00A70C72"/>
    <w:rsid w:val="00A71065"/>
    <w:rsid w:val="00A71113"/>
    <w:rsid w:val="00A7150F"/>
    <w:rsid w:val="00A71FDB"/>
    <w:rsid w:val="00A72989"/>
    <w:rsid w:val="00A72AAC"/>
    <w:rsid w:val="00A7346E"/>
    <w:rsid w:val="00A73AED"/>
    <w:rsid w:val="00A74280"/>
    <w:rsid w:val="00A74933"/>
    <w:rsid w:val="00A750AD"/>
    <w:rsid w:val="00A751E7"/>
    <w:rsid w:val="00A76566"/>
    <w:rsid w:val="00A766D7"/>
    <w:rsid w:val="00A76E6E"/>
    <w:rsid w:val="00A770F7"/>
    <w:rsid w:val="00A777E1"/>
    <w:rsid w:val="00A77E4F"/>
    <w:rsid w:val="00A80238"/>
    <w:rsid w:val="00A804D4"/>
    <w:rsid w:val="00A81773"/>
    <w:rsid w:val="00A819CF"/>
    <w:rsid w:val="00A81B28"/>
    <w:rsid w:val="00A8312D"/>
    <w:rsid w:val="00A8372C"/>
    <w:rsid w:val="00A83E0B"/>
    <w:rsid w:val="00A842E7"/>
    <w:rsid w:val="00A84885"/>
    <w:rsid w:val="00A84D04"/>
    <w:rsid w:val="00A84F12"/>
    <w:rsid w:val="00A85941"/>
    <w:rsid w:val="00A861A7"/>
    <w:rsid w:val="00A861E1"/>
    <w:rsid w:val="00A86343"/>
    <w:rsid w:val="00A86C78"/>
    <w:rsid w:val="00A8761E"/>
    <w:rsid w:val="00A87824"/>
    <w:rsid w:val="00A878BA"/>
    <w:rsid w:val="00A87C1B"/>
    <w:rsid w:val="00A87F6F"/>
    <w:rsid w:val="00A900F3"/>
    <w:rsid w:val="00A90679"/>
    <w:rsid w:val="00A91510"/>
    <w:rsid w:val="00A91F09"/>
    <w:rsid w:val="00A92B97"/>
    <w:rsid w:val="00A92BA1"/>
    <w:rsid w:val="00A92E36"/>
    <w:rsid w:val="00A93C84"/>
    <w:rsid w:val="00A950D7"/>
    <w:rsid w:val="00A95507"/>
    <w:rsid w:val="00A95E3D"/>
    <w:rsid w:val="00A97179"/>
    <w:rsid w:val="00A973E2"/>
    <w:rsid w:val="00A9789E"/>
    <w:rsid w:val="00A97900"/>
    <w:rsid w:val="00A97EEF"/>
    <w:rsid w:val="00A97F92"/>
    <w:rsid w:val="00AA05AA"/>
    <w:rsid w:val="00AA137F"/>
    <w:rsid w:val="00AA13B4"/>
    <w:rsid w:val="00AA1974"/>
    <w:rsid w:val="00AA2126"/>
    <w:rsid w:val="00AA2F14"/>
    <w:rsid w:val="00AA3176"/>
    <w:rsid w:val="00AA33B6"/>
    <w:rsid w:val="00AA342F"/>
    <w:rsid w:val="00AA4138"/>
    <w:rsid w:val="00AA474B"/>
    <w:rsid w:val="00AA4C7F"/>
    <w:rsid w:val="00AA5667"/>
    <w:rsid w:val="00AA5E17"/>
    <w:rsid w:val="00AA7027"/>
    <w:rsid w:val="00AA7DF5"/>
    <w:rsid w:val="00AA7F5F"/>
    <w:rsid w:val="00AB0A32"/>
    <w:rsid w:val="00AB0C0F"/>
    <w:rsid w:val="00AB0EB9"/>
    <w:rsid w:val="00AB11DA"/>
    <w:rsid w:val="00AB19E6"/>
    <w:rsid w:val="00AB1A8D"/>
    <w:rsid w:val="00AB1B1B"/>
    <w:rsid w:val="00AB1F60"/>
    <w:rsid w:val="00AB2021"/>
    <w:rsid w:val="00AB29CC"/>
    <w:rsid w:val="00AB2A72"/>
    <w:rsid w:val="00AB2BB8"/>
    <w:rsid w:val="00AB2E55"/>
    <w:rsid w:val="00AB3261"/>
    <w:rsid w:val="00AB3B78"/>
    <w:rsid w:val="00AB3DC9"/>
    <w:rsid w:val="00AB4573"/>
    <w:rsid w:val="00AB4AD7"/>
    <w:rsid w:val="00AB5000"/>
    <w:rsid w:val="00AB543B"/>
    <w:rsid w:val="00AB547C"/>
    <w:rsid w:val="00AB54A6"/>
    <w:rsid w:val="00AB5672"/>
    <w:rsid w:val="00AB5925"/>
    <w:rsid w:val="00AB5D4F"/>
    <w:rsid w:val="00AB6CA8"/>
    <w:rsid w:val="00AB6FD1"/>
    <w:rsid w:val="00AB7780"/>
    <w:rsid w:val="00AC0C4A"/>
    <w:rsid w:val="00AC12BC"/>
    <w:rsid w:val="00AC1660"/>
    <w:rsid w:val="00AC1D02"/>
    <w:rsid w:val="00AC20FC"/>
    <w:rsid w:val="00AC336A"/>
    <w:rsid w:val="00AC3715"/>
    <w:rsid w:val="00AC3B55"/>
    <w:rsid w:val="00AC4004"/>
    <w:rsid w:val="00AC4E47"/>
    <w:rsid w:val="00AC5699"/>
    <w:rsid w:val="00AC6675"/>
    <w:rsid w:val="00AC6AAA"/>
    <w:rsid w:val="00AC6E48"/>
    <w:rsid w:val="00AC7170"/>
    <w:rsid w:val="00AC7A4F"/>
    <w:rsid w:val="00AC7BAB"/>
    <w:rsid w:val="00AD03EC"/>
    <w:rsid w:val="00AD0CFD"/>
    <w:rsid w:val="00AD1000"/>
    <w:rsid w:val="00AD1DAC"/>
    <w:rsid w:val="00AD1E34"/>
    <w:rsid w:val="00AD2AA1"/>
    <w:rsid w:val="00AD3325"/>
    <w:rsid w:val="00AD3A53"/>
    <w:rsid w:val="00AD3CAF"/>
    <w:rsid w:val="00AD4134"/>
    <w:rsid w:val="00AD44A0"/>
    <w:rsid w:val="00AD49B2"/>
    <w:rsid w:val="00AD563B"/>
    <w:rsid w:val="00AD66D0"/>
    <w:rsid w:val="00AD689D"/>
    <w:rsid w:val="00AD6F0A"/>
    <w:rsid w:val="00AD75FF"/>
    <w:rsid w:val="00AE05B4"/>
    <w:rsid w:val="00AE1E54"/>
    <w:rsid w:val="00AE255A"/>
    <w:rsid w:val="00AE2D16"/>
    <w:rsid w:val="00AE36DD"/>
    <w:rsid w:val="00AE3AC3"/>
    <w:rsid w:val="00AE3CE7"/>
    <w:rsid w:val="00AE4590"/>
    <w:rsid w:val="00AE4855"/>
    <w:rsid w:val="00AE4AB5"/>
    <w:rsid w:val="00AE4E17"/>
    <w:rsid w:val="00AE5205"/>
    <w:rsid w:val="00AE575A"/>
    <w:rsid w:val="00AE5A53"/>
    <w:rsid w:val="00AE5DD5"/>
    <w:rsid w:val="00AE6079"/>
    <w:rsid w:val="00AE6265"/>
    <w:rsid w:val="00AE6A19"/>
    <w:rsid w:val="00AE6A94"/>
    <w:rsid w:val="00AE74CB"/>
    <w:rsid w:val="00AE74CE"/>
    <w:rsid w:val="00AE78C6"/>
    <w:rsid w:val="00AE7C95"/>
    <w:rsid w:val="00AF0228"/>
    <w:rsid w:val="00AF02D2"/>
    <w:rsid w:val="00AF034A"/>
    <w:rsid w:val="00AF0D8A"/>
    <w:rsid w:val="00AF0EB6"/>
    <w:rsid w:val="00AF0FFD"/>
    <w:rsid w:val="00AF120D"/>
    <w:rsid w:val="00AF21CA"/>
    <w:rsid w:val="00AF2A32"/>
    <w:rsid w:val="00AF2C1D"/>
    <w:rsid w:val="00AF2FBD"/>
    <w:rsid w:val="00AF3146"/>
    <w:rsid w:val="00AF3934"/>
    <w:rsid w:val="00AF3A88"/>
    <w:rsid w:val="00AF3DF4"/>
    <w:rsid w:val="00AF51D1"/>
    <w:rsid w:val="00AF5FC0"/>
    <w:rsid w:val="00AF5FC9"/>
    <w:rsid w:val="00AF63B6"/>
    <w:rsid w:val="00AF6B28"/>
    <w:rsid w:val="00AF7392"/>
    <w:rsid w:val="00AF749A"/>
    <w:rsid w:val="00AF790F"/>
    <w:rsid w:val="00B015D4"/>
    <w:rsid w:val="00B01692"/>
    <w:rsid w:val="00B021C7"/>
    <w:rsid w:val="00B022E6"/>
    <w:rsid w:val="00B028F7"/>
    <w:rsid w:val="00B030B1"/>
    <w:rsid w:val="00B03E39"/>
    <w:rsid w:val="00B03FF0"/>
    <w:rsid w:val="00B043EB"/>
    <w:rsid w:val="00B05784"/>
    <w:rsid w:val="00B05A5A"/>
    <w:rsid w:val="00B06998"/>
    <w:rsid w:val="00B06E00"/>
    <w:rsid w:val="00B07264"/>
    <w:rsid w:val="00B1013F"/>
    <w:rsid w:val="00B107BE"/>
    <w:rsid w:val="00B10FC1"/>
    <w:rsid w:val="00B1167C"/>
    <w:rsid w:val="00B123A5"/>
    <w:rsid w:val="00B12986"/>
    <w:rsid w:val="00B12CA9"/>
    <w:rsid w:val="00B12D42"/>
    <w:rsid w:val="00B13677"/>
    <w:rsid w:val="00B136E8"/>
    <w:rsid w:val="00B143E1"/>
    <w:rsid w:val="00B14B74"/>
    <w:rsid w:val="00B14BB4"/>
    <w:rsid w:val="00B15917"/>
    <w:rsid w:val="00B16070"/>
    <w:rsid w:val="00B1667C"/>
    <w:rsid w:val="00B168E9"/>
    <w:rsid w:val="00B16EBA"/>
    <w:rsid w:val="00B173F2"/>
    <w:rsid w:val="00B17F0B"/>
    <w:rsid w:val="00B17F7B"/>
    <w:rsid w:val="00B201FC"/>
    <w:rsid w:val="00B207C3"/>
    <w:rsid w:val="00B20E17"/>
    <w:rsid w:val="00B213BC"/>
    <w:rsid w:val="00B219C5"/>
    <w:rsid w:val="00B220B3"/>
    <w:rsid w:val="00B2252A"/>
    <w:rsid w:val="00B22963"/>
    <w:rsid w:val="00B22F16"/>
    <w:rsid w:val="00B22F96"/>
    <w:rsid w:val="00B23BB9"/>
    <w:rsid w:val="00B24015"/>
    <w:rsid w:val="00B24155"/>
    <w:rsid w:val="00B24A26"/>
    <w:rsid w:val="00B24DCA"/>
    <w:rsid w:val="00B24F02"/>
    <w:rsid w:val="00B26B91"/>
    <w:rsid w:val="00B27517"/>
    <w:rsid w:val="00B2754C"/>
    <w:rsid w:val="00B2790A"/>
    <w:rsid w:val="00B27BEA"/>
    <w:rsid w:val="00B3122F"/>
    <w:rsid w:val="00B31E80"/>
    <w:rsid w:val="00B326BE"/>
    <w:rsid w:val="00B33159"/>
    <w:rsid w:val="00B3320E"/>
    <w:rsid w:val="00B335CB"/>
    <w:rsid w:val="00B33C0C"/>
    <w:rsid w:val="00B3490B"/>
    <w:rsid w:val="00B35097"/>
    <w:rsid w:val="00B357D2"/>
    <w:rsid w:val="00B35A9A"/>
    <w:rsid w:val="00B36467"/>
    <w:rsid w:val="00B3678C"/>
    <w:rsid w:val="00B36F25"/>
    <w:rsid w:val="00B37030"/>
    <w:rsid w:val="00B37234"/>
    <w:rsid w:val="00B37719"/>
    <w:rsid w:val="00B378D1"/>
    <w:rsid w:val="00B4001A"/>
    <w:rsid w:val="00B4058B"/>
    <w:rsid w:val="00B405DA"/>
    <w:rsid w:val="00B406E2"/>
    <w:rsid w:val="00B41566"/>
    <w:rsid w:val="00B41775"/>
    <w:rsid w:val="00B421C3"/>
    <w:rsid w:val="00B42410"/>
    <w:rsid w:val="00B4286A"/>
    <w:rsid w:val="00B42A84"/>
    <w:rsid w:val="00B42CE1"/>
    <w:rsid w:val="00B4373B"/>
    <w:rsid w:val="00B44427"/>
    <w:rsid w:val="00B449DC"/>
    <w:rsid w:val="00B44FD3"/>
    <w:rsid w:val="00B457BF"/>
    <w:rsid w:val="00B45BC2"/>
    <w:rsid w:val="00B464A3"/>
    <w:rsid w:val="00B464E0"/>
    <w:rsid w:val="00B4678F"/>
    <w:rsid w:val="00B469B7"/>
    <w:rsid w:val="00B469EE"/>
    <w:rsid w:val="00B47089"/>
    <w:rsid w:val="00B470DE"/>
    <w:rsid w:val="00B473B6"/>
    <w:rsid w:val="00B50420"/>
    <w:rsid w:val="00B50C2F"/>
    <w:rsid w:val="00B5126B"/>
    <w:rsid w:val="00B51C33"/>
    <w:rsid w:val="00B5245A"/>
    <w:rsid w:val="00B527FD"/>
    <w:rsid w:val="00B534E7"/>
    <w:rsid w:val="00B5517C"/>
    <w:rsid w:val="00B556B6"/>
    <w:rsid w:val="00B55FFF"/>
    <w:rsid w:val="00B56460"/>
    <w:rsid w:val="00B5701C"/>
    <w:rsid w:val="00B57487"/>
    <w:rsid w:val="00B60778"/>
    <w:rsid w:val="00B60F19"/>
    <w:rsid w:val="00B61352"/>
    <w:rsid w:val="00B61CC5"/>
    <w:rsid w:val="00B61D15"/>
    <w:rsid w:val="00B6273A"/>
    <w:rsid w:val="00B62919"/>
    <w:rsid w:val="00B632B8"/>
    <w:rsid w:val="00B63B3C"/>
    <w:rsid w:val="00B63C5B"/>
    <w:rsid w:val="00B63E8F"/>
    <w:rsid w:val="00B64323"/>
    <w:rsid w:val="00B64342"/>
    <w:rsid w:val="00B6442D"/>
    <w:rsid w:val="00B6485D"/>
    <w:rsid w:val="00B65083"/>
    <w:rsid w:val="00B6522F"/>
    <w:rsid w:val="00B65570"/>
    <w:rsid w:val="00B659DB"/>
    <w:rsid w:val="00B65CDE"/>
    <w:rsid w:val="00B6627D"/>
    <w:rsid w:val="00B66D3B"/>
    <w:rsid w:val="00B6711B"/>
    <w:rsid w:val="00B677CF"/>
    <w:rsid w:val="00B67EDA"/>
    <w:rsid w:val="00B71531"/>
    <w:rsid w:val="00B716DF"/>
    <w:rsid w:val="00B71EDC"/>
    <w:rsid w:val="00B72718"/>
    <w:rsid w:val="00B72832"/>
    <w:rsid w:val="00B72866"/>
    <w:rsid w:val="00B72AA4"/>
    <w:rsid w:val="00B732A5"/>
    <w:rsid w:val="00B739A5"/>
    <w:rsid w:val="00B73DDA"/>
    <w:rsid w:val="00B7416F"/>
    <w:rsid w:val="00B753FA"/>
    <w:rsid w:val="00B75987"/>
    <w:rsid w:val="00B768D4"/>
    <w:rsid w:val="00B76B9B"/>
    <w:rsid w:val="00B76C40"/>
    <w:rsid w:val="00B76C4E"/>
    <w:rsid w:val="00B76ED5"/>
    <w:rsid w:val="00B77589"/>
    <w:rsid w:val="00B80E82"/>
    <w:rsid w:val="00B80EDC"/>
    <w:rsid w:val="00B80F57"/>
    <w:rsid w:val="00B81405"/>
    <w:rsid w:val="00B81609"/>
    <w:rsid w:val="00B81787"/>
    <w:rsid w:val="00B82A0A"/>
    <w:rsid w:val="00B84F1E"/>
    <w:rsid w:val="00B8514F"/>
    <w:rsid w:val="00B85A78"/>
    <w:rsid w:val="00B85C41"/>
    <w:rsid w:val="00B85E3B"/>
    <w:rsid w:val="00B86CE2"/>
    <w:rsid w:val="00B90320"/>
    <w:rsid w:val="00B9085E"/>
    <w:rsid w:val="00B90DC3"/>
    <w:rsid w:val="00B91CF0"/>
    <w:rsid w:val="00B92517"/>
    <w:rsid w:val="00B92A5D"/>
    <w:rsid w:val="00B92E75"/>
    <w:rsid w:val="00B934E4"/>
    <w:rsid w:val="00B93895"/>
    <w:rsid w:val="00B93A9D"/>
    <w:rsid w:val="00B94662"/>
    <w:rsid w:val="00B946BB"/>
    <w:rsid w:val="00B94D24"/>
    <w:rsid w:val="00B95303"/>
    <w:rsid w:val="00B9534B"/>
    <w:rsid w:val="00B95B4B"/>
    <w:rsid w:val="00B96007"/>
    <w:rsid w:val="00B9681C"/>
    <w:rsid w:val="00B97A57"/>
    <w:rsid w:val="00B97A74"/>
    <w:rsid w:val="00B97AAF"/>
    <w:rsid w:val="00B97D90"/>
    <w:rsid w:val="00B97F9B"/>
    <w:rsid w:val="00BA0D58"/>
    <w:rsid w:val="00BA24BD"/>
    <w:rsid w:val="00BA24F4"/>
    <w:rsid w:val="00BA262B"/>
    <w:rsid w:val="00BA310B"/>
    <w:rsid w:val="00BA3AAC"/>
    <w:rsid w:val="00BA409B"/>
    <w:rsid w:val="00BA459F"/>
    <w:rsid w:val="00BA4D24"/>
    <w:rsid w:val="00BA5143"/>
    <w:rsid w:val="00BA59D6"/>
    <w:rsid w:val="00BA5C6F"/>
    <w:rsid w:val="00BA70F9"/>
    <w:rsid w:val="00BA77DE"/>
    <w:rsid w:val="00BB03F3"/>
    <w:rsid w:val="00BB08A5"/>
    <w:rsid w:val="00BB1174"/>
    <w:rsid w:val="00BB11EC"/>
    <w:rsid w:val="00BB1870"/>
    <w:rsid w:val="00BB1B4F"/>
    <w:rsid w:val="00BB2786"/>
    <w:rsid w:val="00BB2D66"/>
    <w:rsid w:val="00BB2E10"/>
    <w:rsid w:val="00BB358B"/>
    <w:rsid w:val="00BB36B3"/>
    <w:rsid w:val="00BB3DE6"/>
    <w:rsid w:val="00BB43CA"/>
    <w:rsid w:val="00BB4A31"/>
    <w:rsid w:val="00BB4CDC"/>
    <w:rsid w:val="00BB5237"/>
    <w:rsid w:val="00BB5A61"/>
    <w:rsid w:val="00BB5EAF"/>
    <w:rsid w:val="00BB5FD6"/>
    <w:rsid w:val="00BB6EA2"/>
    <w:rsid w:val="00BB700E"/>
    <w:rsid w:val="00BB7428"/>
    <w:rsid w:val="00BB7743"/>
    <w:rsid w:val="00BB7985"/>
    <w:rsid w:val="00BC0129"/>
    <w:rsid w:val="00BC07A6"/>
    <w:rsid w:val="00BC0830"/>
    <w:rsid w:val="00BC1509"/>
    <w:rsid w:val="00BC160A"/>
    <w:rsid w:val="00BC258D"/>
    <w:rsid w:val="00BC260C"/>
    <w:rsid w:val="00BC44C2"/>
    <w:rsid w:val="00BC485D"/>
    <w:rsid w:val="00BC54BD"/>
    <w:rsid w:val="00BC59A4"/>
    <w:rsid w:val="00BC5DCE"/>
    <w:rsid w:val="00BC65CA"/>
    <w:rsid w:val="00BC65DF"/>
    <w:rsid w:val="00BC66DE"/>
    <w:rsid w:val="00BC6D7A"/>
    <w:rsid w:val="00BC6F05"/>
    <w:rsid w:val="00BC73EE"/>
    <w:rsid w:val="00BC7EC2"/>
    <w:rsid w:val="00BD065D"/>
    <w:rsid w:val="00BD06DE"/>
    <w:rsid w:val="00BD074E"/>
    <w:rsid w:val="00BD21A1"/>
    <w:rsid w:val="00BD29B8"/>
    <w:rsid w:val="00BD2A70"/>
    <w:rsid w:val="00BD2D72"/>
    <w:rsid w:val="00BD394F"/>
    <w:rsid w:val="00BD3E87"/>
    <w:rsid w:val="00BD4FD3"/>
    <w:rsid w:val="00BD52B5"/>
    <w:rsid w:val="00BD6991"/>
    <w:rsid w:val="00BD6B3D"/>
    <w:rsid w:val="00BD70F4"/>
    <w:rsid w:val="00BD7B1D"/>
    <w:rsid w:val="00BD7C3C"/>
    <w:rsid w:val="00BD7D6D"/>
    <w:rsid w:val="00BD7FB5"/>
    <w:rsid w:val="00BE0241"/>
    <w:rsid w:val="00BE06D5"/>
    <w:rsid w:val="00BE0920"/>
    <w:rsid w:val="00BE1002"/>
    <w:rsid w:val="00BE1012"/>
    <w:rsid w:val="00BE11C2"/>
    <w:rsid w:val="00BE1624"/>
    <w:rsid w:val="00BE1797"/>
    <w:rsid w:val="00BE1C69"/>
    <w:rsid w:val="00BE20F1"/>
    <w:rsid w:val="00BE2B10"/>
    <w:rsid w:val="00BE43E7"/>
    <w:rsid w:val="00BE443A"/>
    <w:rsid w:val="00BE49E7"/>
    <w:rsid w:val="00BE4F4F"/>
    <w:rsid w:val="00BE5127"/>
    <w:rsid w:val="00BE5277"/>
    <w:rsid w:val="00BE5585"/>
    <w:rsid w:val="00BE5797"/>
    <w:rsid w:val="00BE5C46"/>
    <w:rsid w:val="00BE65E1"/>
    <w:rsid w:val="00BE775D"/>
    <w:rsid w:val="00BE79C8"/>
    <w:rsid w:val="00BF0940"/>
    <w:rsid w:val="00BF0A24"/>
    <w:rsid w:val="00BF0FFB"/>
    <w:rsid w:val="00BF21D5"/>
    <w:rsid w:val="00BF2854"/>
    <w:rsid w:val="00BF2BA6"/>
    <w:rsid w:val="00BF2DFB"/>
    <w:rsid w:val="00BF381B"/>
    <w:rsid w:val="00BF3A7F"/>
    <w:rsid w:val="00BF4571"/>
    <w:rsid w:val="00BF4EA9"/>
    <w:rsid w:val="00BF5607"/>
    <w:rsid w:val="00BF5DBE"/>
    <w:rsid w:val="00C003C1"/>
    <w:rsid w:val="00C00647"/>
    <w:rsid w:val="00C00681"/>
    <w:rsid w:val="00C007DF"/>
    <w:rsid w:val="00C01052"/>
    <w:rsid w:val="00C014E6"/>
    <w:rsid w:val="00C01BCD"/>
    <w:rsid w:val="00C0244F"/>
    <w:rsid w:val="00C036E9"/>
    <w:rsid w:val="00C038C8"/>
    <w:rsid w:val="00C03B84"/>
    <w:rsid w:val="00C04291"/>
    <w:rsid w:val="00C04448"/>
    <w:rsid w:val="00C04477"/>
    <w:rsid w:val="00C05708"/>
    <w:rsid w:val="00C05896"/>
    <w:rsid w:val="00C05F1C"/>
    <w:rsid w:val="00C06283"/>
    <w:rsid w:val="00C067F1"/>
    <w:rsid w:val="00C07201"/>
    <w:rsid w:val="00C07DF8"/>
    <w:rsid w:val="00C109A6"/>
    <w:rsid w:val="00C10E70"/>
    <w:rsid w:val="00C1117D"/>
    <w:rsid w:val="00C1188A"/>
    <w:rsid w:val="00C1200B"/>
    <w:rsid w:val="00C1295F"/>
    <w:rsid w:val="00C13704"/>
    <w:rsid w:val="00C1399C"/>
    <w:rsid w:val="00C13C2F"/>
    <w:rsid w:val="00C13E4C"/>
    <w:rsid w:val="00C145DC"/>
    <w:rsid w:val="00C1508F"/>
    <w:rsid w:val="00C15653"/>
    <w:rsid w:val="00C159E5"/>
    <w:rsid w:val="00C1612C"/>
    <w:rsid w:val="00C1621E"/>
    <w:rsid w:val="00C16B9D"/>
    <w:rsid w:val="00C16C18"/>
    <w:rsid w:val="00C1747F"/>
    <w:rsid w:val="00C17A44"/>
    <w:rsid w:val="00C17C9F"/>
    <w:rsid w:val="00C204C6"/>
    <w:rsid w:val="00C20636"/>
    <w:rsid w:val="00C2066F"/>
    <w:rsid w:val="00C208AF"/>
    <w:rsid w:val="00C20CB2"/>
    <w:rsid w:val="00C21729"/>
    <w:rsid w:val="00C21969"/>
    <w:rsid w:val="00C21B83"/>
    <w:rsid w:val="00C21D6A"/>
    <w:rsid w:val="00C21F26"/>
    <w:rsid w:val="00C22C87"/>
    <w:rsid w:val="00C23204"/>
    <w:rsid w:val="00C234D5"/>
    <w:rsid w:val="00C2350D"/>
    <w:rsid w:val="00C2375A"/>
    <w:rsid w:val="00C23A50"/>
    <w:rsid w:val="00C242D1"/>
    <w:rsid w:val="00C24B28"/>
    <w:rsid w:val="00C25BA9"/>
    <w:rsid w:val="00C267D1"/>
    <w:rsid w:val="00C26E5F"/>
    <w:rsid w:val="00C27A64"/>
    <w:rsid w:val="00C27ED7"/>
    <w:rsid w:val="00C309DF"/>
    <w:rsid w:val="00C31964"/>
    <w:rsid w:val="00C323BC"/>
    <w:rsid w:val="00C33BC7"/>
    <w:rsid w:val="00C34409"/>
    <w:rsid w:val="00C344C1"/>
    <w:rsid w:val="00C347F2"/>
    <w:rsid w:val="00C347F5"/>
    <w:rsid w:val="00C3487F"/>
    <w:rsid w:val="00C34E12"/>
    <w:rsid w:val="00C34EE1"/>
    <w:rsid w:val="00C353B5"/>
    <w:rsid w:val="00C3565C"/>
    <w:rsid w:val="00C35854"/>
    <w:rsid w:val="00C35CEE"/>
    <w:rsid w:val="00C3627B"/>
    <w:rsid w:val="00C36485"/>
    <w:rsid w:val="00C36AB3"/>
    <w:rsid w:val="00C374E3"/>
    <w:rsid w:val="00C41184"/>
    <w:rsid w:val="00C41733"/>
    <w:rsid w:val="00C417F6"/>
    <w:rsid w:val="00C418FB"/>
    <w:rsid w:val="00C41A55"/>
    <w:rsid w:val="00C41A98"/>
    <w:rsid w:val="00C41B27"/>
    <w:rsid w:val="00C4276B"/>
    <w:rsid w:val="00C428C2"/>
    <w:rsid w:val="00C42A81"/>
    <w:rsid w:val="00C42EF0"/>
    <w:rsid w:val="00C4313B"/>
    <w:rsid w:val="00C43141"/>
    <w:rsid w:val="00C435F3"/>
    <w:rsid w:val="00C439C3"/>
    <w:rsid w:val="00C45724"/>
    <w:rsid w:val="00C464EE"/>
    <w:rsid w:val="00C46A0D"/>
    <w:rsid w:val="00C46ABE"/>
    <w:rsid w:val="00C46B5C"/>
    <w:rsid w:val="00C47091"/>
    <w:rsid w:val="00C473A3"/>
    <w:rsid w:val="00C5020F"/>
    <w:rsid w:val="00C50DFC"/>
    <w:rsid w:val="00C50ED0"/>
    <w:rsid w:val="00C50F51"/>
    <w:rsid w:val="00C519AF"/>
    <w:rsid w:val="00C51C6B"/>
    <w:rsid w:val="00C51E3E"/>
    <w:rsid w:val="00C52275"/>
    <w:rsid w:val="00C5256A"/>
    <w:rsid w:val="00C52D29"/>
    <w:rsid w:val="00C530E8"/>
    <w:rsid w:val="00C53443"/>
    <w:rsid w:val="00C53CF9"/>
    <w:rsid w:val="00C53FF4"/>
    <w:rsid w:val="00C54975"/>
    <w:rsid w:val="00C54F08"/>
    <w:rsid w:val="00C559AF"/>
    <w:rsid w:val="00C5736C"/>
    <w:rsid w:val="00C601C3"/>
    <w:rsid w:val="00C61009"/>
    <w:rsid w:val="00C613EA"/>
    <w:rsid w:val="00C61960"/>
    <w:rsid w:val="00C61D98"/>
    <w:rsid w:val="00C624BD"/>
    <w:rsid w:val="00C62781"/>
    <w:rsid w:val="00C632B3"/>
    <w:rsid w:val="00C634C2"/>
    <w:rsid w:val="00C63DAF"/>
    <w:rsid w:val="00C63FE4"/>
    <w:rsid w:val="00C64D1C"/>
    <w:rsid w:val="00C655F5"/>
    <w:rsid w:val="00C66EC8"/>
    <w:rsid w:val="00C67748"/>
    <w:rsid w:val="00C67C70"/>
    <w:rsid w:val="00C67EBE"/>
    <w:rsid w:val="00C70412"/>
    <w:rsid w:val="00C70430"/>
    <w:rsid w:val="00C70435"/>
    <w:rsid w:val="00C70CD3"/>
    <w:rsid w:val="00C7116E"/>
    <w:rsid w:val="00C71816"/>
    <w:rsid w:val="00C71DCF"/>
    <w:rsid w:val="00C71ECA"/>
    <w:rsid w:val="00C7248F"/>
    <w:rsid w:val="00C72B47"/>
    <w:rsid w:val="00C738CB"/>
    <w:rsid w:val="00C73F0E"/>
    <w:rsid w:val="00C743BB"/>
    <w:rsid w:val="00C74442"/>
    <w:rsid w:val="00C748B4"/>
    <w:rsid w:val="00C74FFB"/>
    <w:rsid w:val="00C753D6"/>
    <w:rsid w:val="00C755D1"/>
    <w:rsid w:val="00C7570C"/>
    <w:rsid w:val="00C75AA9"/>
    <w:rsid w:val="00C76892"/>
    <w:rsid w:val="00C77103"/>
    <w:rsid w:val="00C774B3"/>
    <w:rsid w:val="00C77A60"/>
    <w:rsid w:val="00C77C2B"/>
    <w:rsid w:val="00C800F3"/>
    <w:rsid w:val="00C80111"/>
    <w:rsid w:val="00C80B44"/>
    <w:rsid w:val="00C80C8B"/>
    <w:rsid w:val="00C81748"/>
    <w:rsid w:val="00C81B3C"/>
    <w:rsid w:val="00C81D30"/>
    <w:rsid w:val="00C81E5D"/>
    <w:rsid w:val="00C82453"/>
    <w:rsid w:val="00C82F89"/>
    <w:rsid w:val="00C8322E"/>
    <w:rsid w:val="00C8328A"/>
    <w:rsid w:val="00C83329"/>
    <w:rsid w:val="00C83E37"/>
    <w:rsid w:val="00C8490B"/>
    <w:rsid w:val="00C849BF"/>
    <w:rsid w:val="00C84B5A"/>
    <w:rsid w:val="00C84BED"/>
    <w:rsid w:val="00C852A7"/>
    <w:rsid w:val="00C85B94"/>
    <w:rsid w:val="00C85C78"/>
    <w:rsid w:val="00C85F23"/>
    <w:rsid w:val="00C865ED"/>
    <w:rsid w:val="00C86D2B"/>
    <w:rsid w:val="00C90214"/>
    <w:rsid w:val="00C90C28"/>
    <w:rsid w:val="00C90C4A"/>
    <w:rsid w:val="00C91C29"/>
    <w:rsid w:val="00C92486"/>
    <w:rsid w:val="00C924C5"/>
    <w:rsid w:val="00C928F2"/>
    <w:rsid w:val="00C92C0F"/>
    <w:rsid w:val="00C933A2"/>
    <w:rsid w:val="00C9382A"/>
    <w:rsid w:val="00C9416B"/>
    <w:rsid w:val="00C94EFC"/>
    <w:rsid w:val="00C96360"/>
    <w:rsid w:val="00C965B5"/>
    <w:rsid w:val="00C96697"/>
    <w:rsid w:val="00C9671F"/>
    <w:rsid w:val="00C96CC7"/>
    <w:rsid w:val="00C96FAF"/>
    <w:rsid w:val="00C970FC"/>
    <w:rsid w:val="00C97637"/>
    <w:rsid w:val="00C97C22"/>
    <w:rsid w:val="00C97E51"/>
    <w:rsid w:val="00C97EFA"/>
    <w:rsid w:val="00CA06D7"/>
    <w:rsid w:val="00CA32EB"/>
    <w:rsid w:val="00CA3A67"/>
    <w:rsid w:val="00CA3B8F"/>
    <w:rsid w:val="00CA3BAD"/>
    <w:rsid w:val="00CA4147"/>
    <w:rsid w:val="00CA4A45"/>
    <w:rsid w:val="00CA4B98"/>
    <w:rsid w:val="00CA4D93"/>
    <w:rsid w:val="00CA5326"/>
    <w:rsid w:val="00CA6055"/>
    <w:rsid w:val="00CA67D7"/>
    <w:rsid w:val="00CA68C8"/>
    <w:rsid w:val="00CA7934"/>
    <w:rsid w:val="00CB05E9"/>
    <w:rsid w:val="00CB159B"/>
    <w:rsid w:val="00CB216E"/>
    <w:rsid w:val="00CB24F5"/>
    <w:rsid w:val="00CB2F4F"/>
    <w:rsid w:val="00CB32BD"/>
    <w:rsid w:val="00CB3714"/>
    <w:rsid w:val="00CB3769"/>
    <w:rsid w:val="00CB3EDD"/>
    <w:rsid w:val="00CB3FBF"/>
    <w:rsid w:val="00CB43F6"/>
    <w:rsid w:val="00CB4568"/>
    <w:rsid w:val="00CB45B5"/>
    <w:rsid w:val="00CB48A0"/>
    <w:rsid w:val="00CB50F5"/>
    <w:rsid w:val="00CB5D5A"/>
    <w:rsid w:val="00CB64C7"/>
    <w:rsid w:val="00CB6565"/>
    <w:rsid w:val="00CB6B31"/>
    <w:rsid w:val="00CB6CBC"/>
    <w:rsid w:val="00CB769E"/>
    <w:rsid w:val="00CB7B8B"/>
    <w:rsid w:val="00CB7F28"/>
    <w:rsid w:val="00CC03F6"/>
    <w:rsid w:val="00CC0D29"/>
    <w:rsid w:val="00CC10D0"/>
    <w:rsid w:val="00CC15C6"/>
    <w:rsid w:val="00CC2268"/>
    <w:rsid w:val="00CC2724"/>
    <w:rsid w:val="00CC27F5"/>
    <w:rsid w:val="00CC2889"/>
    <w:rsid w:val="00CC2BD3"/>
    <w:rsid w:val="00CC2EE5"/>
    <w:rsid w:val="00CC46DB"/>
    <w:rsid w:val="00CC479E"/>
    <w:rsid w:val="00CC4DE5"/>
    <w:rsid w:val="00CC508C"/>
    <w:rsid w:val="00CC56F9"/>
    <w:rsid w:val="00CC5715"/>
    <w:rsid w:val="00CC5D2A"/>
    <w:rsid w:val="00CC648E"/>
    <w:rsid w:val="00CC6EEB"/>
    <w:rsid w:val="00CC7103"/>
    <w:rsid w:val="00CC78A6"/>
    <w:rsid w:val="00CC7A9F"/>
    <w:rsid w:val="00CD035F"/>
    <w:rsid w:val="00CD1369"/>
    <w:rsid w:val="00CD1677"/>
    <w:rsid w:val="00CD1AEB"/>
    <w:rsid w:val="00CD1AF4"/>
    <w:rsid w:val="00CD1BB4"/>
    <w:rsid w:val="00CD281A"/>
    <w:rsid w:val="00CD2ABE"/>
    <w:rsid w:val="00CD2F88"/>
    <w:rsid w:val="00CD3552"/>
    <w:rsid w:val="00CD3567"/>
    <w:rsid w:val="00CD3B49"/>
    <w:rsid w:val="00CD464F"/>
    <w:rsid w:val="00CD516A"/>
    <w:rsid w:val="00CD5647"/>
    <w:rsid w:val="00CD6438"/>
    <w:rsid w:val="00CD6450"/>
    <w:rsid w:val="00CD659D"/>
    <w:rsid w:val="00CD678A"/>
    <w:rsid w:val="00CD69C0"/>
    <w:rsid w:val="00CD6E26"/>
    <w:rsid w:val="00CD74BA"/>
    <w:rsid w:val="00CD7595"/>
    <w:rsid w:val="00CE0332"/>
    <w:rsid w:val="00CE07DF"/>
    <w:rsid w:val="00CE0D4E"/>
    <w:rsid w:val="00CE0E90"/>
    <w:rsid w:val="00CE0F10"/>
    <w:rsid w:val="00CE1799"/>
    <w:rsid w:val="00CE18E8"/>
    <w:rsid w:val="00CE20ED"/>
    <w:rsid w:val="00CE262D"/>
    <w:rsid w:val="00CE2792"/>
    <w:rsid w:val="00CE2B3E"/>
    <w:rsid w:val="00CE3962"/>
    <w:rsid w:val="00CE3F15"/>
    <w:rsid w:val="00CE45A3"/>
    <w:rsid w:val="00CE4772"/>
    <w:rsid w:val="00CE4D37"/>
    <w:rsid w:val="00CE4E63"/>
    <w:rsid w:val="00CE575C"/>
    <w:rsid w:val="00CE5AB7"/>
    <w:rsid w:val="00CE5C92"/>
    <w:rsid w:val="00CE5FF4"/>
    <w:rsid w:val="00CE64F7"/>
    <w:rsid w:val="00CE6C20"/>
    <w:rsid w:val="00CE6D37"/>
    <w:rsid w:val="00CE7690"/>
    <w:rsid w:val="00CE7928"/>
    <w:rsid w:val="00CE79E7"/>
    <w:rsid w:val="00CE7AAD"/>
    <w:rsid w:val="00CF0B5D"/>
    <w:rsid w:val="00CF0D2C"/>
    <w:rsid w:val="00CF16A7"/>
    <w:rsid w:val="00CF29AE"/>
    <w:rsid w:val="00CF34E8"/>
    <w:rsid w:val="00CF3B8A"/>
    <w:rsid w:val="00CF3C15"/>
    <w:rsid w:val="00CF3FD0"/>
    <w:rsid w:val="00CF43AB"/>
    <w:rsid w:val="00CF44D9"/>
    <w:rsid w:val="00CF452C"/>
    <w:rsid w:val="00CF46EB"/>
    <w:rsid w:val="00CF4CA8"/>
    <w:rsid w:val="00CF6A19"/>
    <w:rsid w:val="00CF7261"/>
    <w:rsid w:val="00CF743F"/>
    <w:rsid w:val="00CF7D07"/>
    <w:rsid w:val="00D00376"/>
    <w:rsid w:val="00D006EE"/>
    <w:rsid w:val="00D00D0C"/>
    <w:rsid w:val="00D01507"/>
    <w:rsid w:val="00D01781"/>
    <w:rsid w:val="00D01941"/>
    <w:rsid w:val="00D01DA2"/>
    <w:rsid w:val="00D02050"/>
    <w:rsid w:val="00D0301D"/>
    <w:rsid w:val="00D03EA0"/>
    <w:rsid w:val="00D04CB4"/>
    <w:rsid w:val="00D04E76"/>
    <w:rsid w:val="00D051FB"/>
    <w:rsid w:val="00D0552D"/>
    <w:rsid w:val="00D05A9F"/>
    <w:rsid w:val="00D05D38"/>
    <w:rsid w:val="00D07486"/>
    <w:rsid w:val="00D10168"/>
    <w:rsid w:val="00D10AFA"/>
    <w:rsid w:val="00D10BC4"/>
    <w:rsid w:val="00D10F61"/>
    <w:rsid w:val="00D1123F"/>
    <w:rsid w:val="00D1147B"/>
    <w:rsid w:val="00D11BD2"/>
    <w:rsid w:val="00D129D0"/>
    <w:rsid w:val="00D13C91"/>
    <w:rsid w:val="00D1460F"/>
    <w:rsid w:val="00D150AC"/>
    <w:rsid w:val="00D152D8"/>
    <w:rsid w:val="00D15590"/>
    <w:rsid w:val="00D15623"/>
    <w:rsid w:val="00D15D4C"/>
    <w:rsid w:val="00D1658B"/>
    <w:rsid w:val="00D16673"/>
    <w:rsid w:val="00D16B02"/>
    <w:rsid w:val="00D17217"/>
    <w:rsid w:val="00D172FF"/>
    <w:rsid w:val="00D17415"/>
    <w:rsid w:val="00D17AD6"/>
    <w:rsid w:val="00D17C23"/>
    <w:rsid w:val="00D17F38"/>
    <w:rsid w:val="00D20380"/>
    <w:rsid w:val="00D209CF"/>
    <w:rsid w:val="00D20C65"/>
    <w:rsid w:val="00D21C7B"/>
    <w:rsid w:val="00D21F52"/>
    <w:rsid w:val="00D225FE"/>
    <w:rsid w:val="00D22870"/>
    <w:rsid w:val="00D22F0F"/>
    <w:rsid w:val="00D237E9"/>
    <w:rsid w:val="00D244F7"/>
    <w:rsid w:val="00D24E49"/>
    <w:rsid w:val="00D2522D"/>
    <w:rsid w:val="00D259B7"/>
    <w:rsid w:val="00D25FF5"/>
    <w:rsid w:val="00D2700D"/>
    <w:rsid w:val="00D27439"/>
    <w:rsid w:val="00D27DEC"/>
    <w:rsid w:val="00D302AD"/>
    <w:rsid w:val="00D30A1B"/>
    <w:rsid w:val="00D30A30"/>
    <w:rsid w:val="00D30B86"/>
    <w:rsid w:val="00D313BC"/>
    <w:rsid w:val="00D32147"/>
    <w:rsid w:val="00D32179"/>
    <w:rsid w:val="00D33BE9"/>
    <w:rsid w:val="00D33D23"/>
    <w:rsid w:val="00D3425F"/>
    <w:rsid w:val="00D348C2"/>
    <w:rsid w:val="00D34CF2"/>
    <w:rsid w:val="00D35480"/>
    <w:rsid w:val="00D35F59"/>
    <w:rsid w:val="00D36368"/>
    <w:rsid w:val="00D36AB2"/>
    <w:rsid w:val="00D36BC4"/>
    <w:rsid w:val="00D36CD7"/>
    <w:rsid w:val="00D371BE"/>
    <w:rsid w:val="00D3763D"/>
    <w:rsid w:val="00D37C69"/>
    <w:rsid w:val="00D37E2F"/>
    <w:rsid w:val="00D40788"/>
    <w:rsid w:val="00D414C8"/>
    <w:rsid w:val="00D419FC"/>
    <w:rsid w:val="00D41ABF"/>
    <w:rsid w:val="00D42002"/>
    <w:rsid w:val="00D422AF"/>
    <w:rsid w:val="00D42465"/>
    <w:rsid w:val="00D4255B"/>
    <w:rsid w:val="00D4306D"/>
    <w:rsid w:val="00D43340"/>
    <w:rsid w:val="00D43785"/>
    <w:rsid w:val="00D43ABD"/>
    <w:rsid w:val="00D43CE4"/>
    <w:rsid w:val="00D43D4E"/>
    <w:rsid w:val="00D45526"/>
    <w:rsid w:val="00D463C8"/>
    <w:rsid w:val="00D4653F"/>
    <w:rsid w:val="00D46C20"/>
    <w:rsid w:val="00D47BC8"/>
    <w:rsid w:val="00D50031"/>
    <w:rsid w:val="00D51C06"/>
    <w:rsid w:val="00D52AEE"/>
    <w:rsid w:val="00D53596"/>
    <w:rsid w:val="00D53DB3"/>
    <w:rsid w:val="00D5432C"/>
    <w:rsid w:val="00D54475"/>
    <w:rsid w:val="00D5467A"/>
    <w:rsid w:val="00D558C2"/>
    <w:rsid w:val="00D55BB8"/>
    <w:rsid w:val="00D560AC"/>
    <w:rsid w:val="00D5713A"/>
    <w:rsid w:val="00D57898"/>
    <w:rsid w:val="00D57A88"/>
    <w:rsid w:val="00D57F31"/>
    <w:rsid w:val="00D60784"/>
    <w:rsid w:val="00D6080A"/>
    <w:rsid w:val="00D60BA6"/>
    <w:rsid w:val="00D62501"/>
    <w:rsid w:val="00D627E1"/>
    <w:rsid w:val="00D629B2"/>
    <w:rsid w:val="00D62E20"/>
    <w:rsid w:val="00D62E49"/>
    <w:rsid w:val="00D63A5A"/>
    <w:rsid w:val="00D63B90"/>
    <w:rsid w:val="00D644F6"/>
    <w:rsid w:val="00D64611"/>
    <w:rsid w:val="00D64B8D"/>
    <w:rsid w:val="00D64BFF"/>
    <w:rsid w:val="00D64E1D"/>
    <w:rsid w:val="00D650BC"/>
    <w:rsid w:val="00D66259"/>
    <w:rsid w:val="00D66680"/>
    <w:rsid w:val="00D66B14"/>
    <w:rsid w:val="00D66BBD"/>
    <w:rsid w:val="00D671EE"/>
    <w:rsid w:val="00D67371"/>
    <w:rsid w:val="00D677FD"/>
    <w:rsid w:val="00D70847"/>
    <w:rsid w:val="00D712FC"/>
    <w:rsid w:val="00D7150F"/>
    <w:rsid w:val="00D7174D"/>
    <w:rsid w:val="00D71835"/>
    <w:rsid w:val="00D723D7"/>
    <w:rsid w:val="00D7280D"/>
    <w:rsid w:val="00D72AE4"/>
    <w:rsid w:val="00D72FB1"/>
    <w:rsid w:val="00D73514"/>
    <w:rsid w:val="00D735A4"/>
    <w:rsid w:val="00D7390E"/>
    <w:rsid w:val="00D73B11"/>
    <w:rsid w:val="00D73C78"/>
    <w:rsid w:val="00D74072"/>
    <w:rsid w:val="00D7408E"/>
    <w:rsid w:val="00D74606"/>
    <w:rsid w:val="00D74937"/>
    <w:rsid w:val="00D75021"/>
    <w:rsid w:val="00D75443"/>
    <w:rsid w:val="00D75B82"/>
    <w:rsid w:val="00D76593"/>
    <w:rsid w:val="00D76CD2"/>
    <w:rsid w:val="00D773A8"/>
    <w:rsid w:val="00D7767B"/>
    <w:rsid w:val="00D77A5C"/>
    <w:rsid w:val="00D77B9A"/>
    <w:rsid w:val="00D77FD2"/>
    <w:rsid w:val="00D805DA"/>
    <w:rsid w:val="00D808C1"/>
    <w:rsid w:val="00D811F1"/>
    <w:rsid w:val="00D81C18"/>
    <w:rsid w:val="00D81D28"/>
    <w:rsid w:val="00D82087"/>
    <w:rsid w:val="00D82BCE"/>
    <w:rsid w:val="00D835B3"/>
    <w:rsid w:val="00D83833"/>
    <w:rsid w:val="00D83E7B"/>
    <w:rsid w:val="00D84082"/>
    <w:rsid w:val="00D8464B"/>
    <w:rsid w:val="00D84EDE"/>
    <w:rsid w:val="00D85B87"/>
    <w:rsid w:val="00D85BA0"/>
    <w:rsid w:val="00D85BFE"/>
    <w:rsid w:val="00D86E6F"/>
    <w:rsid w:val="00D870AD"/>
    <w:rsid w:val="00D8740A"/>
    <w:rsid w:val="00D8757A"/>
    <w:rsid w:val="00D8773D"/>
    <w:rsid w:val="00D87E3A"/>
    <w:rsid w:val="00D9045D"/>
    <w:rsid w:val="00D90BDB"/>
    <w:rsid w:val="00D921CE"/>
    <w:rsid w:val="00D925FB"/>
    <w:rsid w:val="00D92CB3"/>
    <w:rsid w:val="00D92E7C"/>
    <w:rsid w:val="00D92EBE"/>
    <w:rsid w:val="00D9314E"/>
    <w:rsid w:val="00D93841"/>
    <w:rsid w:val="00D93A95"/>
    <w:rsid w:val="00D93D20"/>
    <w:rsid w:val="00D93F3D"/>
    <w:rsid w:val="00D94233"/>
    <w:rsid w:val="00D957B3"/>
    <w:rsid w:val="00D95A2D"/>
    <w:rsid w:val="00D95F12"/>
    <w:rsid w:val="00D96451"/>
    <w:rsid w:val="00D966AD"/>
    <w:rsid w:val="00D968F8"/>
    <w:rsid w:val="00D9734B"/>
    <w:rsid w:val="00D978D0"/>
    <w:rsid w:val="00D97C4E"/>
    <w:rsid w:val="00DA055C"/>
    <w:rsid w:val="00DA0F1E"/>
    <w:rsid w:val="00DA123E"/>
    <w:rsid w:val="00DA1C82"/>
    <w:rsid w:val="00DA1CC8"/>
    <w:rsid w:val="00DA2343"/>
    <w:rsid w:val="00DA2987"/>
    <w:rsid w:val="00DA2F3F"/>
    <w:rsid w:val="00DA36D3"/>
    <w:rsid w:val="00DA4526"/>
    <w:rsid w:val="00DA4FCB"/>
    <w:rsid w:val="00DA5012"/>
    <w:rsid w:val="00DA52B3"/>
    <w:rsid w:val="00DA5B9E"/>
    <w:rsid w:val="00DA6187"/>
    <w:rsid w:val="00DA62A6"/>
    <w:rsid w:val="00DA6A1E"/>
    <w:rsid w:val="00DA7EAF"/>
    <w:rsid w:val="00DB09C5"/>
    <w:rsid w:val="00DB13D1"/>
    <w:rsid w:val="00DB1604"/>
    <w:rsid w:val="00DB1D26"/>
    <w:rsid w:val="00DB1E61"/>
    <w:rsid w:val="00DB2479"/>
    <w:rsid w:val="00DB26C0"/>
    <w:rsid w:val="00DB2D4E"/>
    <w:rsid w:val="00DB2E76"/>
    <w:rsid w:val="00DB31F4"/>
    <w:rsid w:val="00DB3966"/>
    <w:rsid w:val="00DB3A51"/>
    <w:rsid w:val="00DB3BDD"/>
    <w:rsid w:val="00DB433C"/>
    <w:rsid w:val="00DB508C"/>
    <w:rsid w:val="00DB594C"/>
    <w:rsid w:val="00DB606D"/>
    <w:rsid w:val="00DB6088"/>
    <w:rsid w:val="00DB623A"/>
    <w:rsid w:val="00DB72E1"/>
    <w:rsid w:val="00DB78E6"/>
    <w:rsid w:val="00DB7A7F"/>
    <w:rsid w:val="00DB7FB1"/>
    <w:rsid w:val="00DC0941"/>
    <w:rsid w:val="00DC180C"/>
    <w:rsid w:val="00DC1D34"/>
    <w:rsid w:val="00DC2088"/>
    <w:rsid w:val="00DC2BD7"/>
    <w:rsid w:val="00DC306A"/>
    <w:rsid w:val="00DC3C36"/>
    <w:rsid w:val="00DC5351"/>
    <w:rsid w:val="00DC5376"/>
    <w:rsid w:val="00DC555A"/>
    <w:rsid w:val="00DC6515"/>
    <w:rsid w:val="00DC762C"/>
    <w:rsid w:val="00DC7C45"/>
    <w:rsid w:val="00DD08E4"/>
    <w:rsid w:val="00DD096C"/>
    <w:rsid w:val="00DD0E6C"/>
    <w:rsid w:val="00DD1158"/>
    <w:rsid w:val="00DD1E7C"/>
    <w:rsid w:val="00DD2506"/>
    <w:rsid w:val="00DD2560"/>
    <w:rsid w:val="00DD29C3"/>
    <w:rsid w:val="00DD2CC5"/>
    <w:rsid w:val="00DD3AFD"/>
    <w:rsid w:val="00DD3C51"/>
    <w:rsid w:val="00DD4125"/>
    <w:rsid w:val="00DD482C"/>
    <w:rsid w:val="00DD4C1E"/>
    <w:rsid w:val="00DD4EFF"/>
    <w:rsid w:val="00DD5D50"/>
    <w:rsid w:val="00DD6D78"/>
    <w:rsid w:val="00DD7A23"/>
    <w:rsid w:val="00DE0711"/>
    <w:rsid w:val="00DE07B8"/>
    <w:rsid w:val="00DE0A70"/>
    <w:rsid w:val="00DE0AE0"/>
    <w:rsid w:val="00DE0D14"/>
    <w:rsid w:val="00DE16F8"/>
    <w:rsid w:val="00DE217B"/>
    <w:rsid w:val="00DE2999"/>
    <w:rsid w:val="00DE3869"/>
    <w:rsid w:val="00DE3D1D"/>
    <w:rsid w:val="00DE41FA"/>
    <w:rsid w:val="00DE443F"/>
    <w:rsid w:val="00DE48A3"/>
    <w:rsid w:val="00DE4E9B"/>
    <w:rsid w:val="00DE5297"/>
    <w:rsid w:val="00DE5387"/>
    <w:rsid w:val="00DE58F5"/>
    <w:rsid w:val="00DE6C1A"/>
    <w:rsid w:val="00DE6C4D"/>
    <w:rsid w:val="00DE6FB6"/>
    <w:rsid w:val="00DE74CA"/>
    <w:rsid w:val="00DE7B61"/>
    <w:rsid w:val="00DE7EFE"/>
    <w:rsid w:val="00DF0142"/>
    <w:rsid w:val="00DF0328"/>
    <w:rsid w:val="00DF0363"/>
    <w:rsid w:val="00DF075B"/>
    <w:rsid w:val="00DF07D3"/>
    <w:rsid w:val="00DF0E2E"/>
    <w:rsid w:val="00DF19DA"/>
    <w:rsid w:val="00DF23E2"/>
    <w:rsid w:val="00DF276C"/>
    <w:rsid w:val="00DF2AA1"/>
    <w:rsid w:val="00DF2E12"/>
    <w:rsid w:val="00DF2F38"/>
    <w:rsid w:val="00DF336C"/>
    <w:rsid w:val="00DF3545"/>
    <w:rsid w:val="00DF3697"/>
    <w:rsid w:val="00DF3A0B"/>
    <w:rsid w:val="00DF403C"/>
    <w:rsid w:val="00DF4AAE"/>
    <w:rsid w:val="00DF4F36"/>
    <w:rsid w:val="00DF5041"/>
    <w:rsid w:val="00DF6163"/>
    <w:rsid w:val="00DF6429"/>
    <w:rsid w:val="00DF6C66"/>
    <w:rsid w:val="00DF78F9"/>
    <w:rsid w:val="00E00276"/>
    <w:rsid w:val="00E00B7E"/>
    <w:rsid w:val="00E0179B"/>
    <w:rsid w:val="00E01963"/>
    <w:rsid w:val="00E01C03"/>
    <w:rsid w:val="00E01CC5"/>
    <w:rsid w:val="00E0222C"/>
    <w:rsid w:val="00E025A6"/>
    <w:rsid w:val="00E029F9"/>
    <w:rsid w:val="00E02A37"/>
    <w:rsid w:val="00E02D80"/>
    <w:rsid w:val="00E02F0D"/>
    <w:rsid w:val="00E03377"/>
    <w:rsid w:val="00E03427"/>
    <w:rsid w:val="00E040FE"/>
    <w:rsid w:val="00E04551"/>
    <w:rsid w:val="00E04714"/>
    <w:rsid w:val="00E047E6"/>
    <w:rsid w:val="00E04AC4"/>
    <w:rsid w:val="00E05755"/>
    <w:rsid w:val="00E05811"/>
    <w:rsid w:val="00E06112"/>
    <w:rsid w:val="00E06551"/>
    <w:rsid w:val="00E06955"/>
    <w:rsid w:val="00E06CFB"/>
    <w:rsid w:val="00E0777B"/>
    <w:rsid w:val="00E1000D"/>
    <w:rsid w:val="00E10526"/>
    <w:rsid w:val="00E10C12"/>
    <w:rsid w:val="00E118B6"/>
    <w:rsid w:val="00E11CB9"/>
    <w:rsid w:val="00E11E7F"/>
    <w:rsid w:val="00E12F3C"/>
    <w:rsid w:val="00E1329B"/>
    <w:rsid w:val="00E133B9"/>
    <w:rsid w:val="00E13ABD"/>
    <w:rsid w:val="00E13C7C"/>
    <w:rsid w:val="00E14423"/>
    <w:rsid w:val="00E1466E"/>
    <w:rsid w:val="00E147EE"/>
    <w:rsid w:val="00E1492F"/>
    <w:rsid w:val="00E14AA6"/>
    <w:rsid w:val="00E15296"/>
    <w:rsid w:val="00E15705"/>
    <w:rsid w:val="00E15BD6"/>
    <w:rsid w:val="00E16428"/>
    <w:rsid w:val="00E170F1"/>
    <w:rsid w:val="00E173D7"/>
    <w:rsid w:val="00E17AB3"/>
    <w:rsid w:val="00E17DC9"/>
    <w:rsid w:val="00E20091"/>
    <w:rsid w:val="00E20517"/>
    <w:rsid w:val="00E2059C"/>
    <w:rsid w:val="00E2068A"/>
    <w:rsid w:val="00E20F69"/>
    <w:rsid w:val="00E220CA"/>
    <w:rsid w:val="00E221DB"/>
    <w:rsid w:val="00E222B8"/>
    <w:rsid w:val="00E22681"/>
    <w:rsid w:val="00E22823"/>
    <w:rsid w:val="00E230AD"/>
    <w:rsid w:val="00E23635"/>
    <w:rsid w:val="00E239D6"/>
    <w:rsid w:val="00E24684"/>
    <w:rsid w:val="00E24D82"/>
    <w:rsid w:val="00E256EB"/>
    <w:rsid w:val="00E25935"/>
    <w:rsid w:val="00E26768"/>
    <w:rsid w:val="00E276FF"/>
    <w:rsid w:val="00E30A49"/>
    <w:rsid w:val="00E30B8D"/>
    <w:rsid w:val="00E31185"/>
    <w:rsid w:val="00E312C5"/>
    <w:rsid w:val="00E32DBF"/>
    <w:rsid w:val="00E32E7A"/>
    <w:rsid w:val="00E3354D"/>
    <w:rsid w:val="00E3391D"/>
    <w:rsid w:val="00E33FDB"/>
    <w:rsid w:val="00E3493F"/>
    <w:rsid w:val="00E34CC8"/>
    <w:rsid w:val="00E35CC0"/>
    <w:rsid w:val="00E36555"/>
    <w:rsid w:val="00E36EB6"/>
    <w:rsid w:val="00E37F80"/>
    <w:rsid w:val="00E402D7"/>
    <w:rsid w:val="00E404FF"/>
    <w:rsid w:val="00E40F82"/>
    <w:rsid w:val="00E411C7"/>
    <w:rsid w:val="00E41307"/>
    <w:rsid w:val="00E428E6"/>
    <w:rsid w:val="00E42E87"/>
    <w:rsid w:val="00E43705"/>
    <w:rsid w:val="00E43BB4"/>
    <w:rsid w:val="00E440AE"/>
    <w:rsid w:val="00E443DF"/>
    <w:rsid w:val="00E44916"/>
    <w:rsid w:val="00E44A76"/>
    <w:rsid w:val="00E450D3"/>
    <w:rsid w:val="00E452B4"/>
    <w:rsid w:val="00E45871"/>
    <w:rsid w:val="00E45C2B"/>
    <w:rsid w:val="00E468A0"/>
    <w:rsid w:val="00E469EC"/>
    <w:rsid w:val="00E46CE9"/>
    <w:rsid w:val="00E47155"/>
    <w:rsid w:val="00E47444"/>
    <w:rsid w:val="00E479BA"/>
    <w:rsid w:val="00E47B6A"/>
    <w:rsid w:val="00E47FCA"/>
    <w:rsid w:val="00E5004A"/>
    <w:rsid w:val="00E501E8"/>
    <w:rsid w:val="00E50810"/>
    <w:rsid w:val="00E50A39"/>
    <w:rsid w:val="00E50DED"/>
    <w:rsid w:val="00E52147"/>
    <w:rsid w:val="00E52BBE"/>
    <w:rsid w:val="00E52E78"/>
    <w:rsid w:val="00E5309D"/>
    <w:rsid w:val="00E533AD"/>
    <w:rsid w:val="00E54D1C"/>
    <w:rsid w:val="00E557DA"/>
    <w:rsid w:val="00E56ABE"/>
    <w:rsid w:val="00E574C8"/>
    <w:rsid w:val="00E60B46"/>
    <w:rsid w:val="00E61370"/>
    <w:rsid w:val="00E6211C"/>
    <w:rsid w:val="00E630B9"/>
    <w:rsid w:val="00E632D8"/>
    <w:rsid w:val="00E6394B"/>
    <w:rsid w:val="00E64DFD"/>
    <w:rsid w:val="00E64FB5"/>
    <w:rsid w:val="00E65194"/>
    <w:rsid w:val="00E65452"/>
    <w:rsid w:val="00E673E0"/>
    <w:rsid w:val="00E67DE9"/>
    <w:rsid w:val="00E701A5"/>
    <w:rsid w:val="00E7060A"/>
    <w:rsid w:val="00E7066A"/>
    <w:rsid w:val="00E706D9"/>
    <w:rsid w:val="00E70A77"/>
    <w:rsid w:val="00E71251"/>
    <w:rsid w:val="00E714C1"/>
    <w:rsid w:val="00E71EAE"/>
    <w:rsid w:val="00E7212C"/>
    <w:rsid w:val="00E728A1"/>
    <w:rsid w:val="00E72F15"/>
    <w:rsid w:val="00E730D7"/>
    <w:rsid w:val="00E73554"/>
    <w:rsid w:val="00E735CB"/>
    <w:rsid w:val="00E73A0D"/>
    <w:rsid w:val="00E73E8F"/>
    <w:rsid w:val="00E73ED6"/>
    <w:rsid w:val="00E745A5"/>
    <w:rsid w:val="00E748CB"/>
    <w:rsid w:val="00E74960"/>
    <w:rsid w:val="00E75032"/>
    <w:rsid w:val="00E757E9"/>
    <w:rsid w:val="00E75922"/>
    <w:rsid w:val="00E75D8A"/>
    <w:rsid w:val="00E76A07"/>
    <w:rsid w:val="00E777B5"/>
    <w:rsid w:val="00E77BBB"/>
    <w:rsid w:val="00E81765"/>
    <w:rsid w:val="00E821F5"/>
    <w:rsid w:val="00E83264"/>
    <w:rsid w:val="00E843ED"/>
    <w:rsid w:val="00E8505E"/>
    <w:rsid w:val="00E857CD"/>
    <w:rsid w:val="00E85DF6"/>
    <w:rsid w:val="00E85E9B"/>
    <w:rsid w:val="00E87FE3"/>
    <w:rsid w:val="00E901E6"/>
    <w:rsid w:val="00E91971"/>
    <w:rsid w:val="00E93241"/>
    <w:rsid w:val="00E93D14"/>
    <w:rsid w:val="00E9557B"/>
    <w:rsid w:val="00E95B1C"/>
    <w:rsid w:val="00E95F44"/>
    <w:rsid w:val="00E96416"/>
    <w:rsid w:val="00E965C1"/>
    <w:rsid w:val="00E967D7"/>
    <w:rsid w:val="00E97097"/>
    <w:rsid w:val="00E97987"/>
    <w:rsid w:val="00EA1194"/>
    <w:rsid w:val="00EA1DFB"/>
    <w:rsid w:val="00EA1E81"/>
    <w:rsid w:val="00EA20E0"/>
    <w:rsid w:val="00EA28C0"/>
    <w:rsid w:val="00EA2E61"/>
    <w:rsid w:val="00EA3441"/>
    <w:rsid w:val="00EA3874"/>
    <w:rsid w:val="00EA3F5F"/>
    <w:rsid w:val="00EA445D"/>
    <w:rsid w:val="00EA47D0"/>
    <w:rsid w:val="00EA4A0F"/>
    <w:rsid w:val="00EA4AA4"/>
    <w:rsid w:val="00EA556F"/>
    <w:rsid w:val="00EA5A94"/>
    <w:rsid w:val="00EA634B"/>
    <w:rsid w:val="00EA637F"/>
    <w:rsid w:val="00EA7410"/>
    <w:rsid w:val="00EA7FD5"/>
    <w:rsid w:val="00EB0290"/>
    <w:rsid w:val="00EB186F"/>
    <w:rsid w:val="00EB1936"/>
    <w:rsid w:val="00EB1EA8"/>
    <w:rsid w:val="00EB239F"/>
    <w:rsid w:val="00EB23F8"/>
    <w:rsid w:val="00EB258A"/>
    <w:rsid w:val="00EB26DA"/>
    <w:rsid w:val="00EB282A"/>
    <w:rsid w:val="00EB29E1"/>
    <w:rsid w:val="00EB2F79"/>
    <w:rsid w:val="00EB32E2"/>
    <w:rsid w:val="00EB3427"/>
    <w:rsid w:val="00EB358A"/>
    <w:rsid w:val="00EB35B9"/>
    <w:rsid w:val="00EB3BC7"/>
    <w:rsid w:val="00EB3FC8"/>
    <w:rsid w:val="00EB4460"/>
    <w:rsid w:val="00EB4E3C"/>
    <w:rsid w:val="00EB4EBB"/>
    <w:rsid w:val="00EB5AE6"/>
    <w:rsid w:val="00EB624D"/>
    <w:rsid w:val="00EC0B56"/>
    <w:rsid w:val="00EC14D2"/>
    <w:rsid w:val="00EC1583"/>
    <w:rsid w:val="00EC15CE"/>
    <w:rsid w:val="00EC1A7A"/>
    <w:rsid w:val="00EC2278"/>
    <w:rsid w:val="00EC240A"/>
    <w:rsid w:val="00EC29C7"/>
    <w:rsid w:val="00EC33F7"/>
    <w:rsid w:val="00EC4AB7"/>
    <w:rsid w:val="00EC4C52"/>
    <w:rsid w:val="00EC5100"/>
    <w:rsid w:val="00EC55AB"/>
    <w:rsid w:val="00EC612F"/>
    <w:rsid w:val="00EC671E"/>
    <w:rsid w:val="00EC67F8"/>
    <w:rsid w:val="00EC6A83"/>
    <w:rsid w:val="00EC6B15"/>
    <w:rsid w:val="00EC6DA1"/>
    <w:rsid w:val="00ED1577"/>
    <w:rsid w:val="00ED1A23"/>
    <w:rsid w:val="00ED21F6"/>
    <w:rsid w:val="00ED22C5"/>
    <w:rsid w:val="00ED23C5"/>
    <w:rsid w:val="00ED2ABC"/>
    <w:rsid w:val="00ED2EFC"/>
    <w:rsid w:val="00ED3218"/>
    <w:rsid w:val="00ED41F8"/>
    <w:rsid w:val="00ED4878"/>
    <w:rsid w:val="00ED509E"/>
    <w:rsid w:val="00ED55F5"/>
    <w:rsid w:val="00ED5A18"/>
    <w:rsid w:val="00ED6513"/>
    <w:rsid w:val="00ED66BB"/>
    <w:rsid w:val="00ED6802"/>
    <w:rsid w:val="00ED7A78"/>
    <w:rsid w:val="00ED7AAF"/>
    <w:rsid w:val="00ED7E4C"/>
    <w:rsid w:val="00EE087F"/>
    <w:rsid w:val="00EE0A19"/>
    <w:rsid w:val="00EE139C"/>
    <w:rsid w:val="00EE1B86"/>
    <w:rsid w:val="00EE242F"/>
    <w:rsid w:val="00EE272A"/>
    <w:rsid w:val="00EE2A30"/>
    <w:rsid w:val="00EE31F6"/>
    <w:rsid w:val="00EE3454"/>
    <w:rsid w:val="00EE34F0"/>
    <w:rsid w:val="00EE361D"/>
    <w:rsid w:val="00EE3E62"/>
    <w:rsid w:val="00EE484E"/>
    <w:rsid w:val="00EE566C"/>
    <w:rsid w:val="00EE56A6"/>
    <w:rsid w:val="00EE589F"/>
    <w:rsid w:val="00EE6101"/>
    <w:rsid w:val="00EE61DB"/>
    <w:rsid w:val="00EE645C"/>
    <w:rsid w:val="00EE691F"/>
    <w:rsid w:val="00EE7442"/>
    <w:rsid w:val="00EF0037"/>
    <w:rsid w:val="00EF0A1E"/>
    <w:rsid w:val="00EF1253"/>
    <w:rsid w:val="00EF1878"/>
    <w:rsid w:val="00EF18CB"/>
    <w:rsid w:val="00EF25DA"/>
    <w:rsid w:val="00EF26A0"/>
    <w:rsid w:val="00EF34E6"/>
    <w:rsid w:val="00EF39E3"/>
    <w:rsid w:val="00EF3CA1"/>
    <w:rsid w:val="00EF43B5"/>
    <w:rsid w:val="00EF43F5"/>
    <w:rsid w:val="00EF44B7"/>
    <w:rsid w:val="00EF4975"/>
    <w:rsid w:val="00EF4F3D"/>
    <w:rsid w:val="00EF593D"/>
    <w:rsid w:val="00EF5D94"/>
    <w:rsid w:val="00EF6399"/>
    <w:rsid w:val="00EF676D"/>
    <w:rsid w:val="00EF6C7F"/>
    <w:rsid w:val="00EF751F"/>
    <w:rsid w:val="00EF7793"/>
    <w:rsid w:val="00F00116"/>
    <w:rsid w:val="00F00549"/>
    <w:rsid w:val="00F00796"/>
    <w:rsid w:val="00F014F0"/>
    <w:rsid w:val="00F01D73"/>
    <w:rsid w:val="00F01DEE"/>
    <w:rsid w:val="00F02BBD"/>
    <w:rsid w:val="00F032DF"/>
    <w:rsid w:val="00F03493"/>
    <w:rsid w:val="00F0387E"/>
    <w:rsid w:val="00F03A82"/>
    <w:rsid w:val="00F03F88"/>
    <w:rsid w:val="00F046A9"/>
    <w:rsid w:val="00F049C4"/>
    <w:rsid w:val="00F0509B"/>
    <w:rsid w:val="00F055F2"/>
    <w:rsid w:val="00F05B66"/>
    <w:rsid w:val="00F0660E"/>
    <w:rsid w:val="00F0666A"/>
    <w:rsid w:val="00F06B48"/>
    <w:rsid w:val="00F06D9B"/>
    <w:rsid w:val="00F07382"/>
    <w:rsid w:val="00F1037C"/>
    <w:rsid w:val="00F1061A"/>
    <w:rsid w:val="00F10FCD"/>
    <w:rsid w:val="00F11B3E"/>
    <w:rsid w:val="00F11E90"/>
    <w:rsid w:val="00F14CE7"/>
    <w:rsid w:val="00F15124"/>
    <w:rsid w:val="00F151B7"/>
    <w:rsid w:val="00F1527C"/>
    <w:rsid w:val="00F157EF"/>
    <w:rsid w:val="00F15CB1"/>
    <w:rsid w:val="00F160EB"/>
    <w:rsid w:val="00F16331"/>
    <w:rsid w:val="00F16AFB"/>
    <w:rsid w:val="00F16B12"/>
    <w:rsid w:val="00F16C68"/>
    <w:rsid w:val="00F1710B"/>
    <w:rsid w:val="00F177FD"/>
    <w:rsid w:val="00F1798C"/>
    <w:rsid w:val="00F201C3"/>
    <w:rsid w:val="00F20E1D"/>
    <w:rsid w:val="00F223D7"/>
    <w:rsid w:val="00F22AB8"/>
    <w:rsid w:val="00F22C09"/>
    <w:rsid w:val="00F22C27"/>
    <w:rsid w:val="00F2309F"/>
    <w:rsid w:val="00F238B1"/>
    <w:rsid w:val="00F239AD"/>
    <w:rsid w:val="00F23C05"/>
    <w:rsid w:val="00F254D3"/>
    <w:rsid w:val="00F255AC"/>
    <w:rsid w:val="00F259AF"/>
    <w:rsid w:val="00F25D9D"/>
    <w:rsid w:val="00F25E3E"/>
    <w:rsid w:val="00F271DD"/>
    <w:rsid w:val="00F27C1C"/>
    <w:rsid w:val="00F27F5A"/>
    <w:rsid w:val="00F30097"/>
    <w:rsid w:val="00F30739"/>
    <w:rsid w:val="00F30C6E"/>
    <w:rsid w:val="00F311DF"/>
    <w:rsid w:val="00F31269"/>
    <w:rsid w:val="00F317F7"/>
    <w:rsid w:val="00F3198D"/>
    <w:rsid w:val="00F31D3F"/>
    <w:rsid w:val="00F31FF2"/>
    <w:rsid w:val="00F322D6"/>
    <w:rsid w:val="00F329F7"/>
    <w:rsid w:val="00F339BE"/>
    <w:rsid w:val="00F339EF"/>
    <w:rsid w:val="00F340E1"/>
    <w:rsid w:val="00F342EF"/>
    <w:rsid w:val="00F342F4"/>
    <w:rsid w:val="00F35F01"/>
    <w:rsid w:val="00F36A42"/>
    <w:rsid w:val="00F372E9"/>
    <w:rsid w:val="00F37346"/>
    <w:rsid w:val="00F37CA9"/>
    <w:rsid w:val="00F4024E"/>
    <w:rsid w:val="00F42341"/>
    <w:rsid w:val="00F42564"/>
    <w:rsid w:val="00F4272C"/>
    <w:rsid w:val="00F4307C"/>
    <w:rsid w:val="00F432B5"/>
    <w:rsid w:val="00F43354"/>
    <w:rsid w:val="00F43D4F"/>
    <w:rsid w:val="00F464A3"/>
    <w:rsid w:val="00F469CB"/>
    <w:rsid w:val="00F47A24"/>
    <w:rsid w:val="00F50E14"/>
    <w:rsid w:val="00F51183"/>
    <w:rsid w:val="00F51485"/>
    <w:rsid w:val="00F514A3"/>
    <w:rsid w:val="00F52437"/>
    <w:rsid w:val="00F52618"/>
    <w:rsid w:val="00F52B23"/>
    <w:rsid w:val="00F52B77"/>
    <w:rsid w:val="00F53731"/>
    <w:rsid w:val="00F53CD3"/>
    <w:rsid w:val="00F53EAA"/>
    <w:rsid w:val="00F53FFD"/>
    <w:rsid w:val="00F540E8"/>
    <w:rsid w:val="00F54A79"/>
    <w:rsid w:val="00F54E3D"/>
    <w:rsid w:val="00F550D6"/>
    <w:rsid w:val="00F55407"/>
    <w:rsid w:val="00F562F3"/>
    <w:rsid w:val="00F567BB"/>
    <w:rsid w:val="00F56957"/>
    <w:rsid w:val="00F571F6"/>
    <w:rsid w:val="00F57205"/>
    <w:rsid w:val="00F5723B"/>
    <w:rsid w:val="00F57476"/>
    <w:rsid w:val="00F57722"/>
    <w:rsid w:val="00F57DBB"/>
    <w:rsid w:val="00F60187"/>
    <w:rsid w:val="00F60E28"/>
    <w:rsid w:val="00F6189E"/>
    <w:rsid w:val="00F62339"/>
    <w:rsid w:val="00F62398"/>
    <w:rsid w:val="00F6251D"/>
    <w:rsid w:val="00F631DC"/>
    <w:rsid w:val="00F6392B"/>
    <w:rsid w:val="00F6453F"/>
    <w:rsid w:val="00F649DC"/>
    <w:rsid w:val="00F64B4A"/>
    <w:rsid w:val="00F6577E"/>
    <w:rsid w:val="00F6586B"/>
    <w:rsid w:val="00F66004"/>
    <w:rsid w:val="00F66116"/>
    <w:rsid w:val="00F665AF"/>
    <w:rsid w:val="00F66719"/>
    <w:rsid w:val="00F66FF2"/>
    <w:rsid w:val="00F67805"/>
    <w:rsid w:val="00F67847"/>
    <w:rsid w:val="00F709CE"/>
    <w:rsid w:val="00F71264"/>
    <w:rsid w:val="00F717EB"/>
    <w:rsid w:val="00F71807"/>
    <w:rsid w:val="00F71EBC"/>
    <w:rsid w:val="00F72D5C"/>
    <w:rsid w:val="00F731B8"/>
    <w:rsid w:val="00F73443"/>
    <w:rsid w:val="00F739E3"/>
    <w:rsid w:val="00F743ED"/>
    <w:rsid w:val="00F74896"/>
    <w:rsid w:val="00F74999"/>
    <w:rsid w:val="00F74EFB"/>
    <w:rsid w:val="00F750DA"/>
    <w:rsid w:val="00F75319"/>
    <w:rsid w:val="00F75380"/>
    <w:rsid w:val="00F75654"/>
    <w:rsid w:val="00F75A56"/>
    <w:rsid w:val="00F75C39"/>
    <w:rsid w:val="00F76975"/>
    <w:rsid w:val="00F7704B"/>
    <w:rsid w:val="00F7719D"/>
    <w:rsid w:val="00F77DEA"/>
    <w:rsid w:val="00F80298"/>
    <w:rsid w:val="00F80A87"/>
    <w:rsid w:val="00F80B88"/>
    <w:rsid w:val="00F80C3A"/>
    <w:rsid w:val="00F80CFB"/>
    <w:rsid w:val="00F80DEC"/>
    <w:rsid w:val="00F8106F"/>
    <w:rsid w:val="00F8126C"/>
    <w:rsid w:val="00F8149C"/>
    <w:rsid w:val="00F81E2B"/>
    <w:rsid w:val="00F8290F"/>
    <w:rsid w:val="00F82B32"/>
    <w:rsid w:val="00F82DE8"/>
    <w:rsid w:val="00F8316B"/>
    <w:rsid w:val="00F831A8"/>
    <w:rsid w:val="00F84D52"/>
    <w:rsid w:val="00F85EC6"/>
    <w:rsid w:val="00F86660"/>
    <w:rsid w:val="00F869B2"/>
    <w:rsid w:val="00F86F85"/>
    <w:rsid w:val="00F87BDA"/>
    <w:rsid w:val="00F90161"/>
    <w:rsid w:val="00F9031D"/>
    <w:rsid w:val="00F90B4D"/>
    <w:rsid w:val="00F91386"/>
    <w:rsid w:val="00F914E4"/>
    <w:rsid w:val="00F91A0D"/>
    <w:rsid w:val="00F91C8E"/>
    <w:rsid w:val="00F92922"/>
    <w:rsid w:val="00F929A2"/>
    <w:rsid w:val="00F92AC3"/>
    <w:rsid w:val="00F92B2E"/>
    <w:rsid w:val="00F937D4"/>
    <w:rsid w:val="00F938F2"/>
    <w:rsid w:val="00F93E43"/>
    <w:rsid w:val="00F94860"/>
    <w:rsid w:val="00F94908"/>
    <w:rsid w:val="00F9575D"/>
    <w:rsid w:val="00F9585A"/>
    <w:rsid w:val="00F9586C"/>
    <w:rsid w:val="00F95B69"/>
    <w:rsid w:val="00F95E8B"/>
    <w:rsid w:val="00F96139"/>
    <w:rsid w:val="00F961F9"/>
    <w:rsid w:val="00F96DEA"/>
    <w:rsid w:val="00F97E04"/>
    <w:rsid w:val="00FA09E1"/>
    <w:rsid w:val="00FA0A09"/>
    <w:rsid w:val="00FA10CD"/>
    <w:rsid w:val="00FA121A"/>
    <w:rsid w:val="00FA13DA"/>
    <w:rsid w:val="00FA1BDF"/>
    <w:rsid w:val="00FA1EBB"/>
    <w:rsid w:val="00FA2029"/>
    <w:rsid w:val="00FA23BB"/>
    <w:rsid w:val="00FA2714"/>
    <w:rsid w:val="00FA2796"/>
    <w:rsid w:val="00FA2953"/>
    <w:rsid w:val="00FA2CED"/>
    <w:rsid w:val="00FA2D7A"/>
    <w:rsid w:val="00FA3018"/>
    <w:rsid w:val="00FA325E"/>
    <w:rsid w:val="00FA3593"/>
    <w:rsid w:val="00FA38D4"/>
    <w:rsid w:val="00FA38F3"/>
    <w:rsid w:val="00FA39A5"/>
    <w:rsid w:val="00FA3DC3"/>
    <w:rsid w:val="00FA4D86"/>
    <w:rsid w:val="00FA5C2E"/>
    <w:rsid w:val="00FA5F16"/>
    <w:rsid w:val="00FA5F18"/>
    <w:rsid w:val="00FA6800"/>
    <w:rsid w:val="00FA6A6E"/>
    <w:rsid w:val="00FA6EC0"/>
    <w:rsid w:val="00FA6F93"/>
    <w:rsid w:val="00FA7194"/>
    <w:rsid w:val="00FA7497"/>
    <w:rsid w:val="00FA761F"/>
    <w:rsid w:val="00FA7AD3"/>
    <w:rsid w:val="00FA7F3F"/>
    <w:rsid w:val="00FA7FB6"/>
    <w:rsid w:val="00FB010C"/>
    <w:rsid w:val="00FB079D"/>
    <w:rsid w:val="00FB1346"/>
    <w:rsid w:val="00FB16DA"/>
    <w:rsid w:val="00FB171E"/>
    <w:rsid w:val="00FB277A"/>
    <w:rsid w:val="00FB2F67"/>
    <w:rsid w:val="00FB38B2"/>
    <w:rsid w:val="00FB41D4"/>
    <w:rsid w:val="00FB42A4"/>
    <w:rsid w:val="00FB45F0"/>
    <w:rsid w:val="00FB46FE"/>
    <w:rsid w:val="00FB4BA1"/>
    <w:rsid w:val="00FB4DD1"/>
    <w:rsid w:val="00FB4ED3"/>
    <w:rsid w:val="00FB6091"/>
    <w:rsid w:val="00FB611B"/>
    <w:rsid w:val="00FB61CB"/>
    <w:rsid w:val="00FB68EB"/>
    <w:rsid w:val="00FB68F9"/>
    <w:rsid w:val="00FB6DB5"/>
    <w:rsid w:val="00FB6F38"/>
    <w:rsid w:val="00FB716B"/>
    <w:rsid w:val="00FB7548"/>
    <w:rsid w:val="00FB7614"/>
    <w:rsid w:val="00FB78BD"/>
    <w:rsid w:val="00FC05E3"/>
    <w:rsid w:val="00FC08B8"/>
    <w:rsid w:val="00FC0A71"/>
    <w:rsid w:val="00FC19B6"/>
    <w:rsid w:val="00FC2330"/>
    <w:rsid w:val="00FC2B00"/>
    <w:rsid w:val="00FC2B7F"/>
    <w:rsid w:val="00FC2BA8"/>
    <w:rsid w:val="00FC2DC9"/>
    <w:rsid w:val="00FC2F89"/>
    <w:rsid w:val="00FC3118"/>
    <w:rsid w:val="00FC33D6"/>
    <w:rsid w:val="00FC394D"/>
    <w:rsid w:val="00FC44B4"/>
    <w:rsid w:val="00FC4C22"/>
    <w:rsid w:val="00FC4F3A"/>
    <w:rsid w:val="00FC5122"/>
    <w:rsid w:val="00FC550D"/>
    <w:rsid w:val="00FC56EC"/>
    <w:rsid w:val="00FC745B"/>
    <w:rsid w:val="00FC79D5"/>
    <w:rsid w:val="00FC7E4D"/>
    <w:rsid w:val="00FC7FEE"/>
    <w:rsid w:val="00FD031B"/>
    <w:rsid w:val="00FD03DB"/>
    <w:rsid w:val="00FD095F"/>
    <w:rsid w:val="00FD099F"/>
    <w:rsid w:val="00FD0E4F"/>
    <w:rsid w:val="00FD12ED"/>
    <w:rsid w:val="00FD1591"/>
    <w:rsid w:val="00FD1F94"/>
    <w:rsid w:val="00FD336C"/>
    <w:rsid w:val="00FD4C13"/>
    <w:rsid w:val="00FD4D79"/>
    <w:rsid w:val="00FD4E51"/>
    <w:rsid w:val="00FD5988"/>
    <w:rsid w:val="00FD7052"/>
    <w:rsid w:val="00FD71C5"/>
    <w:rsid w:val="00FE0D84"/>
    <w:rsid w:val="00FE13DF"/>
    <w:rsid w:val="00FE2962"/>
    <w:rsid w:val="00FE34E5"/>
    <w:rsid w:val="00FE3832"/>
    <w:rsid w:val="00FE55F1"/>
    <w:rsid w:val="00FE6D4D"/>
    <w:rsid w:val="00FE6D62"/>
    <w:rsid w:val="00FE6F2E"/>
    <w:rsid w:val="00FE77A7"/>
    <w:rsid w:val="00FE7A73"/>
    <w:rsid w:val="00FE7E89"/>
    <w:rsid w:val="00FF04B6"/>
    <w:rsid w:val="00FF0CE6"/>
    <w:rsid w:val="00FF1157"/>
    <w:rsid w:val="00FF1669"/>
    <w:rsid w:val="00FF186C"/>
    <w:rsid w:val="00FF18A6"/>
    <w:rsid w:val="00FF1F7D"/>
    <w:rsid w:val="00FF2697"/>
    <w:rsid w:val="00FF2BF3"/>
    <w:rsid w:val="00FF4247"/>
    <w:rsid w:val="00FF6147"/>
    <w:rsid w:val="00FF65A7"/>
    <w:rsid w:val="00FF6684"/>
    <w:rsid w:val="00FF6AAA"/>
    <w:rsid w:val="00FF6B68"/>
    <w:rsid w:val="00FF76FB"/>
    <w:rsid w:val="00FF770D"/>
    <w:rsid w:val="00FF7ADC"/>
    <w:rsid w:val="00FF7E8E"/>
    <w:rsid w:val="00FF7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57"/>
    <w:rPr>
      <w:sz w:val="24"/>
      <w:szCs w:val="24"/>
    </w:rPr>
  </w:style>
  <w:style w:type="paragraph" w:styleId="1">
    <w:name w:val="heading 1"/>
    <w:aliases w:val="Heading 1 Char"/>
    <w:basedOn w:val="a"/>
    <w:next w:val="a"/>
    <w:link w:val="10"/>
    <w:qFormat/>
    <w:rsid w:val="00A319BB"/>
    <w:pPr>
      <w:keepNext/>
      <w:spacing w:before="240" w:after="60"/>
      <w:outlineLvl w:val="0"/>
    </w:pPr>
    <w:rPr>
      <w:rFonts w:ascii="Arial" w:hAnsi="Arial" w:cs="Arial"/>
      <w:b/>
      <w:bCs/>
      <w:kern w:val="32"/>
      <w:sz w:val="32"/>
      <w:szCs w:val="32"/>
    </w:rPr>
  </w:style>
  <w:style w:type="paragraph" w:styleId="2">
    <w:name w:val="heading 2"/>
    <w:aliases w:val="Heading 2 Char"/>
    <w:basedOn w:val="a"/>
    <w:next w:val="a"/>
    <w:link w:val="20"/>
    <w:qFormat/>
    <w:rsid w:val="00A319BB"/>
    <w:pPr>
      <w:keepNext/>
      <w:spacing w:before="240" w:after="60"/>
      <w:outlineLvl w:val="1"/>
    </w:pPr>
    <w:rPr>
      <w:rFonts w:ascii="Arial" w:hAnsi="Arial" w:cs="Arial"/>
      <w:b/>
      <w:bCs/>
      <w:i/>
      <w:iCs/>
      <w:sz w:val="28"/>
      <w:szCs w:val="28"/>
    </w:rPr>
  </w:style>
  <w:style w:type="paragraph" w:styleId="3">
    <w:name w:val="heading 3"/>
    <w:aliases w:val="Heading 3 Char"/>
    <w:basedOn w:val="a"/>
    <w:next w:val="a"/>
    <w:link w:val="30"/>
    <w:qFormat/>
    <w:rsid w:val="00A319BB"/>
    <w:pPr>
      <w:keepNext/>
      <w:spacing w:before="240" w:after="60"/>
      <w:outlineLvl w:val="2"/>
    </w:pPr>
    <w:rPr>
      <w:rFonts w:ascii="Arial" w:hAnsi="Arial" w:cs="Arial"/>
      <w:b/>
      <w:bCs/>
      <w:sz w:val="26"/>
      <w:szCs w:val="26"/>
    </w:rPr>
  </w:style>
  <w:style w:type="paragraph" w:styleId="4">
    <w:name w:val="heading 4"/>
    <w:aliases w:val="Heading 4 Char"/>
    <w:basedOn w:val="a"/>
    <w:next w:val="a"/>
    <w:link w:val="40"/>
    <w:qFormat/>
    <w:rsid w:val="00EE6101"/>
    <w:pPr>
      <w:keepNext/>
      <w:ind w:firstLine="720"/>
      <w:outlineLvl w:val="3"/>
    </w:pPr>
    <w:rPr>
      <w:rFonts w:ascii="Arial" w:hAnsi="Arial"/>
      <w:szCs w:val="20"/>
      <w:lang w:val="uk-UA"/>
    </w:rPr>
  </w:style>
  <w:style w:type="paragraph" w:styleId="5">
    <w:name w:val="heading 5"/>
    <w:aliases w:val="Heading 5 Char"/>
    <w:basedOn w:val="a"/>
    <w:next w:val="a"/>
    <w:link w:val="50"/>
    <w:qFormat/>
    <w:rsid w:val="00A319BB"/>
    <w:pPr>
      <w:spacing w:before="240" w:after="60"/>
      <w:outlineLvl w:val="4"/>
    </w:pPr>
    <w:rPr>
      <w:b/>
      <w:bCs/>
      <w:i/>
      <w:iCs/>
      <w:sz w:val="26"/>
      <w:szCs w:val="26"/>
    </w:rPr>
  </w:style>
  <w:style w:type="paragraph" w:styleId="6">
    <w:name w:val="heading 6"/>
    <w:aliases w:val="Heading 6 Char"/>
    <w:basedOn w:val="a"/>
    <w:next w:val="a"/>
    <w:link w:val="60"/>
    <w:qFormat/>
    <w:rsid w:val="004074A0"/>
    <w:pPr>
      <w:keepNext/>
      <w:outlineLvl w:val="5"/>
    </w:pPr>
    <w:rPr>
      <w:b/>
      <w:bCs/>
      <w:sz w:val="20"/>
      <w:szCs w:val="20"/>
      <w:lang w:val="uk-UA"/>
    </w:rPr>
  </w:style>
  <w:style w:type="paragraph" w:styleId="7">
    <w:name w:val="heading 7"/>
    <w:aliases w:val="Heading 7 Char"/>
    <w:basedOn w:val="a"/>
    <w:next w:val="a"/>
    <w:link w:val="70"/>
    <w:qFormat/>
    <w:rsid w:val="00A319BB"/>
    <w:pPr>
      <w:spacing w:before="240" w:after="60"/>
      <w:outlineLvl w:val="6"/>
    </w:pPr>
  </w:style>
  <w:style w:type="paragraph" w:styleId="8">
    <w:name w:val="heading 8"/>
    <w:aliases w:val="Heading 8 Char"/>
    <w:basedOn w:val="a"/>
    <w:next w:val="a"/>
    <w:link w:val="80"/>
    <w:qFormat/>
    <w:rsid w:val="004074A0"/>
    <w:pPr>
      <w:keepNext/>
      <w:ind w:right="-108"/>
      <w:jc w:val="center"/>
      <w:outlineLvl w:val="7"/>
    </w:pPr>
    <w:rPr>
      <w:b/>
      <w:sz w:val="20"/>
      <w:szCs w:val="20"/>
      <w:lang w:val="uk-UA"/>
    </w:rPr>
  </w:style>
  <w:style w:type="paragraph" w:styleId="9">
    <w:name w:val="heading 9"/>
    <w:aliases w:val="Heading 9 Char"/>
    <w:basedOn w:val="a"/>
    <w:next w:val="a"/>
    <w:link w:val="90"/>
    <w:qFormat/>
    <w:rsid w:val="00A319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4074A0"/>
    <w:rPr>
      <w:rFonts w:ascii="Arial" w:hAnsi="Arial" w:cs="Arial"/>
      <w:b/>
      <w:bCs/>
      <w:kern w:val="32"/>
      <w:sz w:val="32"/>
      <w:szCs w:val="32"/>
      <w:lang w:val="ru-RU" w:eastAsia="ru-RU" w:bidi="ar-SA"/>
    </w:rPr>
  </w:style>
  <w:style w:type="paragraph" w:customStyle="1" w:styleId="a3">
    <w:name w:val="Знак Знак Знак Знак Знак Знак Знак Знак"/>
    <w:basedOn w:val="a"/>
    <w:rsid w:val="00F67847"/>
    <w:rPr>
      <w:rFonts w:ascii="Verdana" w:hAnsi="Verdana" w:cs="Verdana"/>
      <w:sz w:val="20"/>
      <w:szCs w:val="20"/>
      <w:lang w:val="en-US" w:eastAsia="en-US"/>
    </w:rPr>
  </w:style>
  <w:style w:type="character" w:customStyle="1" w:styleId="20">
    <w:name w:val="Заголовок 2 Знак"/>
    <w:aliases w:val="Heading 2 Char Знак"/>
    <w:basedOn w:val="a0"/>
    <w:link w:val="2"/>
    <w:rsid w:val="004074A0"/>
    <w:rPr>
      <w:rFonts w:ascii="Arial" w:hAnsi="Arial" w:cs="Arial"/>
      <w:b/>
      <w:bCs/>
      <w:i/>
      <w:iCs/>
      <w:sz w:val="28"/>
      <w:szCs w:val="28"/>
      <w:lang w:val="ru-RU" w:eastAsia="ru-RU" w:bidi="ar-SA"/>
    </w:rPr>
  </w:style>
  <w:style w:type="character" w:customStyle="1" w:styleId="30">
    <w:name w:val="Заголовок 3 Знак"/>
    <w:aliases w:val="Heading 3 Char Знак"/>
    <w:basedOn w:val="a0"/>
    <w:link w:val="3"/>
    <w:rsid w:val="004074A0"/>
    <w:rPr>
      <w:rFonts w:ascii="Arial" w:hAnsi="Arial" w:cs="Arial"/>
      <w:b/>
      <w:bCs/>
      <w:sz w:val="26"/>
      <w:szCs w:val="26"/>
      <w:lang w:val="ru-RU" w:eastAsia="ru-RU" w:bidi="ar-SA"/>
    </w:rPr>
  </w:style>
  <w:style w:type="character" w:customStyle="1" w:styleId="40">
    <w:name w:val="Заголовок 4 Знак"/>
    <w:aliases w:val="Heading 4 Char Знак"/>
    <w:basedOn w:val="a0"/>
    <w:link w:val="4"/>
    <w:rsid w:val="004074A0"/>
    <w:rPr>
      <w:rFonts w:ascii="Arial" w:hAnsi="Arial"/>
      <w:sz w:val="24"/>
      <w:lang w:val="uk-UA" w:eastAsia="ru-RU" w:bidi="ar-SA"/>
    </w:rPr>
  </w:style>
  <w:style w:type="character" w:customStyle="1" w:styleId="50">
    <w:name w:val="Заголовок 5 Знак"/>
    <w:aliases w:val="Heading 5 Char Знак"/>
    <w:basedOn w:val="a0"/>
    <w:link w:val="5"/>
    <w:rsid w:val="004074A0"/>
    <w:rPr>
      <w:b/>
      <w:bCs/>
      <w:i/>
      <w:iCs/>
      <w:sz w:val="26"/>
      <w:szCs w:val="26"/>
      <w:lang w:val="ru-RU" w:eastAsia="ru-RU" w:bidi="ar-SA"/>
    </w:rPr>
  </w:style>
  <w:style w:type="character" w:customStyle="1" w:styleId="60">
    <w:name w:val="Заголовок 6 Знак"/>
    <w:aliases w:val="Heading 6 Char Знак"/>
    <w:basedOn w:val="a0"/>
    <w:link w:val="6"/>
    <w:rsid w:val="004074A0"/>
    <w:rPr>
      <w:b/>
      <w:bCs/>
      <w:lang w:val="uk-UA" w:eastAsia="ru-RU" w:bidi="ar-SA"/>
    </w:rPr>
  </w:style>
  <w:style w:type="character" w:customStyle="1" w:styleId="70">
    <w:name w:val="Заголовок 7 Знак"/>
    <w:aliases w:val="Heading 7 Char Знак"/>
    <w:basedOn w:val="a0"/>
    <w:link w:val="7"/>
    <w:rsid w:val="004074A0"/>
    <w:rPr>
      <w:sz w:val="24"/>
      <w:szCs w:val="24"/>
      <w:lang w:val="ru-RU" w:eastAsia="ru-RU" w:bidi="ar-SA"/>
    </w:rPr>
  </w:style>
  <w:style w:type="character" w:customStyle="1" w:styleId="80">
    <w:name w:val="Заголовок 8 Знак"/>
    <w:aliases w:val="Heading 8 Char Знак"/>
    <w:basedOn w:val="a0"/>
    <w:link w:val="8"/>
    <w:rsid w:val="004074A0"/>
    <w:rPr>
      <w:b/>
      <w:lang w:val="uk-UA" w:eastAsia="ru-RU" w:bidi="ar-SA"/>
    </w:rPr>
  </w:style>
  <w:style w:type="character" w:customStyle="1" w:styleId="90">
    <w:name w:val="Заголовок 9 Знак"/>
    <w:aliases w:val="Heading 9 Char Знак"/>
    <w:basedOn w:val="a0"/>
    <w:link w:val="9"/>
    <w:rsid w:val="004074A0"/>
    <w:rPr>
      <w:rFonts w:ascii="Arial" w:hAnsi="Arial" w:cs="Arial"/>
      <w:sz w:val="22"/>
      <w:szCs w:val="22"/>
      <w:lang w:val="ru-RU" w:eastAsia="ru-RU" w:bidi="ar-SA"/>
    </w:rPr>
  </w:style>
  <w:style w:type="paragraph" w:styleId="a4">
    <w:name w:val="Normal (Web)"/>
    <w:aliases w:val="Обычный (Web)"/>
    <w:basedOn w:val="a"/>
    <w:uiPriority w:val="99"/>
    <w:rsid w:val="009D3F7C"/>
    <w:pPr>
      <w:spacing w:before="100" w:beforeAutospacing="1" w:after="100" w:afterAutospacing="1"/>
    </w:pPr>
  </w:style>
  <w:style w:type="paragraph" w:customStyle="1" w:styleId="21">
    <w:name w:val="Основной текст 21"/>
    <w:basedOn w:val="a"/>
    <w:rsid w:val="00A20A16"/>
    <w:pPr>
      <w:ind w:firstLine="720"/>
      <w:jc w:val="both"/>
    </w:pPr>
    <w:rPr>
      <w:szCs w:val="20"/>
      <w:lang w:val="uk-UA"/>
    </w:rPr>
  </w:style>
  <w:style w:type="paragraph" w:styleId="22">
    <w:name w:val="Body Text Indent 2"/>
    <w:aliases w:val="Body Text Indent 2 Char"/>
    <w:basedOn w:val="a"/>
    <w:link w:val="23"/>
    <w:rsid w:val="0008314F"/>
    <w:pPr>
      <w:spacing w:after="120" w:line="480" w:lineRule="auto"/>
      <w:ind w:left="283"/>
    </w:pPr>
  </w:style>
  <w:style w:type="character" w:customStyle="1" w:styleId="23">
    <w:name w:val="Основной текст с отступом 2 Знак"/>
    <w:aliases w:val="Body Text Indent 2 Char Знак"/>
    <w:basedOn w:val="a0"/>
    <w:link w:val="22"/>
    <w:rsid w:val="004074A0"/>
    <w:rPr>
      <w:sz w:val="24"/>
      <w:szCs w:val="24"/>
      <w:lang w:val="ru-RU" w:eastAsia="ru-RU" w:bidi="ar-SA"/>
    </w:rPr>
  </w:style>
  <w:style w:type="character" w:customStyle="1" w:styleId="rvts6">
    <w:name w:val="rvts6"/>
    <w:basedOn w:val="a0"/>
    <w:rsid w:val="00F53CD3"/>
    <w:rPr>
      <w:rFonts w:ascii="Times New Roman" w:hAnsi="Times New Roman" w:cs="Times New Roman" w:hint="default"/>
      <w:sz w:val="24"/>
      <w:szCs w:val="24"/>
    </w:rPr>
  </w:style>
  <w:style w:type="character" w:customStyle="1" w:styleId="rvts7">
    <w:name w:val="rvts7"/>
    <w:basedOn w:val="a0"/>
    <w:rsid w:val="00F53CD3"/>
    <w:rPr>
      <w:rFonts w:ascii="Times New Roman" w:hAnsi="Times New Roman" w:cs="Times New Roman" w:hint="default"/>
      <w:b/>
      <w:bCs/>
      <w:sz w:val="24"/>
      <w:szCs w:val="24"/>
    </w:rPr>
  </w:style>
  <w:style w:type="character" w:customStyle="1" w:styleId="rvts9">
    <w:name w:val="rvts9"/>
    <w:basedOn w:val="a0"/>
    <w:rsid w:val="00F53CD3"/>
    <w:rPr>
      <w:rFonts w:ascii="Times New Roman" w:hAnsi="Times New Roman" w:cs="Times New Roman" w:hint="default"/>
      <w:sz w:val="24"/>
      <w:szCs w:val="24"/>
    </w:rPr>
  </w:style>
  <w:style w:type="character" w:customStyle="1" w:styleId="rvts11">
    <w:name w:val="rvts11"/>
    <w:basedOn w:val="a0"/>
    <w:rsid w:val="00F53CD3"/>
    <w:rPr>
      <w:rFonts w:ascii="Times New Roman" w:hAnsi="Times New Roman" w:cs="Times New Roman" w:hint="default"/>
      <w:sz w:val="24"/>
      <w:szCs w:val="24"/>
    </w:rPr>
  </w:style>
  <w:style w:type="character" w:customStyle="1" w:styleId="rvts13">
    <w:name w:val="rvts13"/>
    <w:basedOn w:val="a0"/>
    <w:rsid w:val="00F53CD3"/>
    <w:rPr>
      <w:rFonts w:ascii="Times New Roman" w:hAnsi="Times New Roman" w:cs="Times New Roman" w:hint="default"/>
      <w:b/>
      <w:bCs/>
      <w:sz w:val="24"/>
      <w:szCs w:val="24"/>
    </w:rPr>
  </w:style>
  <w:style w:type="character" w:customStyle="1" w:styleId="apple-style-span">
    <w:name w:val="apple-style-span"/>
    <w:basedOn w:val="a0"/>
    <w:rsid w:val="003D315D"/>
  </w:style>
  <w:style w:type="character" w:styleId="a5">
    <w:name w:val="Hyperlink"/>
    <w:basedOn w:val="a0"/>
    <w:rsid w:val="00C21F26"/>
    <w:rPr>
      <w:strike w:val="0"/>
      <w:dstrike w:val="0"/>
      <w:color w:val="006796"/>
      <w:u w:val="none"/>
      <w:effect w:val="none"/>
    </w:rPr>
  </w:style>
  <w:style w:type="paragraph" w:styleId="a6">
    <w:name w:val="Body Text"/>
    <w:aliases w:val="Body Text Char"/>
    <w:basedOn w:val="a"/>
    <w:link w:val="a7"/>
    <w:rsid w:val="000E3D5A"/>
    <w:pPr>
      <w:spacing w:after="120"/>
    </w:pPr>
  </w:style>
  <w:style w:type="character" w:customStyle="1" w:styleId="a7">
    <w:name w:val="Основной текст Знак"/>
    <w:aliases w:val="Body Text Char Знак"/>
    <w:basedOn w:val="a0"/>
    <w:link w:val="a6"/>
    <w:rsid w:val="004074A0"/>
    <w:rPr>
      <w:sz w:val="24"/>
      <w:szCs w:val="24"/>
      <w:lang w:val="ru-RU" w:eastAsia="ru-RU" w:bidi="ar-SA"/>
    </w:rPr>
  </w:style>
  <w:style w:type="paragraph" w:styleId="a8">
    <w:name w:val="Body Text Indent"/>
    <w:aliases w:val="Body Text 2 Char"/>
    <w:basedOn w:val="a"/>
    <w:link w:val="a9"/>
    <w:rsid w:val="00A319BB"/>
    <w:pPr>
      <w:spacing w:after="120"/>
      <w:ind w:left="283"/>
    </w:pPr>
  </w:style>
  <w:style w:type="character" w:customStyle="1" w:styleId="a9">
    <w:name w:val="Основной текст с отступом Знак"/>
    <w:aliases w:val="Body Text 2 Char Знак"/>
    <w:basedOn w:val="a0"/>
    <w:link w:val="a8"/>
    <w:rsid w:val="004074A0"/>
    <w:rPr>
      <w:sz w:val="24"/>
      <w:szCs w:val="24"/>
      <w:lang w:val="ru-RU" w:eastAsia="ru-RU" w:bidi="ar-SA"/>
    </w:rPr>
  </w:style>
  <w:style w:type="paragraph" w:styleId="31">
    <w:name w:val="Body Text Indent 3"/>
    <w:aliases w:val="Body Text Indent 3 Char"/>
    <w:basedOn w:val="a"/>
    <w:link w:val="32"/>
    <w:rsid w:val="00A319BB"/>
    <w:pPr>
      <w:spacing w:after="120"/>
      <w:ind w:left="283"/>
    </w:pPr>
    <w:rPr>
      <w:sz w:val="16"/>
      <w:szCs w:val="16"/>
    </w:rPr>
  </w:style>
  <w:style w:type="character" w:customStyle="1" w:styleId="32">
    <w:name w:val="Основной текст с отступом 3 Знак"/>
    <w:aliases w:val="Body Text Indent 3 Char Знак"/>
    <w:basedOn w:val="a0"/>
    <w:link w:val="31"/>
    <w:semiHidden/>
    <w:rsid w:val="004074A0"/>
    <w:rPr>
      <w:sz w:val="16"/>
      <w:szCs w:val="16"/>
      <w:lang w:val="ru-RU" w:eastAsia="ru-RU" w:bidi="ar-SA"/>
    </w:rPr>
  </w:style>
  <w:style w:type="paragraph" w:styleId="33">
    <w:name w:val="Body Text 3"/>
    <w:basedOn w:val="a"/>
    <w:rsid w:val="00A319BB"/>
    <w:pPr>
      <w:spacing w:after="120"/>
    </w:pPr>
    <w:rPr>
      <w:sz w:val="16"/>
      <w:szCs w:val="16"/>
    </w:rPr>
  </w:style>
  <w:style w:type="paragraph" w:styleId="24">
    <w:name w:val="Body Text 2"/>
    <w:basedOn w:val="a"/>
    <w:rsid w:val="00A319BB"/>
    <w:pPr>
      <w:spacing w:after="120" w:line="480" w:lineRule="auto"/>
    </w:pPr>
  </w:style>
  <w:style w:type="paragraph" w:styleId="aa">
    <w:name w:val="footer"/>
    <w:aliases w:val="Footer Char"/>
    <w:basedOn w:val="a"/>
    <w:link w:val="ab"/>
    <w:rsid w:val="00A319BB"/>
    <w:pPr>
      <w:tabs>
        <w:tab w:val="center" w:pos="4153"/>
        <w:tab w:val="right" w:pos="8306"/>
      </w:tabs>
    </w:pPr>
    <w:rPr>
      <w:sz w:val="20"/>
      <w:szCs w:val="20"/>
    </w:rPr>
  </w:style>
  <w:style w:type="character" w:customStyle="1" w:styleId="ab">
    <w:name w:val="Нижний колонтитул Знак"/>
    <w:aliases w:val="Footer Char Знак"/>
    <w:basedOn w:val="a0"/>
    <w:link w:val="aa"/>
    <w:rsid w:val="004074A0"/>
    <w:rPr>
      <w:lang w:val="ru-RU" w:eastAsia="ru-RU" w:bidi="ar-SA"/>
    </w:rPr>
  </w:style>
  <w:style w:type="paragraph" w:customStyle="1" w:styleId="25">
    <w:name w:val="Обычный2"/>
    <w:rsid w:val="00A319BB"/>
    <w:rPr>
      <w:lang w:val="uk-UA"/>
    </w:rPr>
  </w:style>
  <w:style w:type="paragraph" w:styleId="ac">
    <w:name w:val="Block Text"/>
    <w:basedOn w:val="a"/>
    <w:rsid w:val="00A319BB"/>
    <w:pPr>
      <w:shd w:val="clear" w:color="auto" w:fill="FFFFFF"/>
      <w:spacing w:before="202" w:line="230" w:lineRule="exact"/>
      <w:ind w:left="284" w:right="10" w:hanging="284"/>
      <w:jc w:val="both"/>
    </w:pPr>
    <w:rPr>
      <w:rFonts w:ascii="Arial" w:hAnsi="Arial" w:cs="Arial"/>
      <w:sz w:val="20"/>
      <w:szCs w:val="20"/>
      <w:lang w:val="uk-UA"/>
    </w:rPr>
  </w:style>
  <w:style w:type="character" w:styleId="ad">
    <w:name w:val="annotation reference"/>
    <w:basedOn w:val="a0"/>
    <w:uiPriority w:val="99"/>
    <w:semiHidden/>
    <w:unhideWhenUsed/>
    <w:rsid w:val="00BA310B"/>
    <w:rPr>
      <w:sz w:val="16"/>
      <w:szCs w:val="16"/>
    </w:rPr>
  </w:style>
  <w:style w:type="paragraph" w:styleId="ae">
    <w:name w:val="annotation text"/>
    <w:basedOn w:val="a"/>
    <w:link w:val="af"/>
    <w:uiPriority w:val="99"/>
    <w:semiHidden/>
    <w:unhideWhenUsed/>
    <w:rsid w:val="00BA310B"/>
    <w:rPr>
      <w:sz w:val="20"/>
      <w:szCs w:val="20"/>
    </w:rPr>
  </w:style>
  <w:style w:type="character" w:customStyle="1" w:styleId="af">
    <w:name w:val="Текст примечания Знак"/>
    <w:basedOn w:val="a0"/>
    <w:link w:val="ae"/>
    <w:uiPriority w:val="99"/>
    <w:semiHidden/>
    <w:rsid w:val="00BA310B"/>
  </w:style>
  <w:style w:type="paragraph" w:styleId="af0">
    <w:name w:val="annotation subject"/>
    <w:basedOn w:val="ae"/>
    <w:next w:val="ae"/>
    <w:link w:val="af1"/>
    <w:uiPriority w:val="99"/>
    <w:semiHidden/>
    <w:unhideWhenUsed/>
    <w:rsid w:val="00BA310B"/>
    <w:rPr>
      <w:b/>
      <w:bCs/>
    </w:rPr>
  </w:style>
  <w:style w:type="character" w:customStyle="1" w:styleId="af1">
    <w:name w:val="Тема примечания Знак"/>
    <w:basedOn w:val="af"/>
    <w:link w:val="af0"/>
    <w:uiPriority w:val="99"/>
    <w:semiHidden/>
    <w:rsid w:val="00BA310B"/>
    <w:rPr>
      <w:b/>
      <w:bCs/>
    </w:rPr>
  </w:style>
  <w:style w:type="paragraph" w:styleId="af2">
    <w:name w:val="Balloon Text"/>
    <w:basedOn w:val="a"/>
    <w:link w:val="af3"/>
    <w:uiPriority w:val="99"/>
    <w:semiHidden/>
    <w:unhideWhenUsed/>
    <w:rsid w:val="00BA310B"/>
    <w:rPr>
      <w:rFonts w:ascii="Tahoma" w:hAnsi="Tahoma" w:cs="Tahoma"/>
      <w:sz w:val="16"/>
      <w:szCs w:val="16"/>
    </w:rPr>
  </w:style>
  <w:style w:type="character" w:customStyle="1" w:styleId="af3">
    <w:name w:val="Текст выноски Знак"/>
    <w:basedOn w:val="a0"/>
    <w:link w:val="af2"/>
    <w:uiPriority w:val="99"/>
    <w:semiHidden/>
    <w:rsid w:val="00BA310B"/>
    <w:rPr>
      <w:rFonts w:ascii="Tahoma" w:hAnsi="Tahoma" w:cs="Tahoma"/>
      <w:sz w:val="16"/>
      <w:szCs w:val="16"/>
    </w:rPr>
  </w:style>
  <w:style w:type="table" w:styleId="af4">
    <w:name w:val="Table Grid"/>
    <w:basedOn w:val="a1"/>
    <w:rsid w:val="00F63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3"/>
    <w:basedOn w:val="a"/>
    <w:rsid w:val="003F2F2F"/>
    <w:rPr>
      <w:rFonts w:ascii="Verdana" w:hAnsi="Verdana" w:cs="Verdana"/>
      <w:sz w:val="20"/>
      <w:szCs w:val="20"/>
      <w:lang w:val="en-US" w:eastAsia="en-US"/>
    </w:rPr>
  </w:style>
  <w:style w:type="paragraph" w:customStyle="1" w:styleId="ABC-r-paragraphinNotes">
    <w:name w:val="ABC-r - paragraph in Notes"/>
    <w:rsid w:val="006B212D"/>
    <w:pPr>
      <w:spacing w:after="240"/>
      <w:jc w:val="both"/>
    </w:pPr>
    <w:rPr>
      <w:rFonts w:ascii="Arial" w:hAnsi="Arial"/>
      <w:sz w:val="18"/>
      <w:lang w:eastAsia="en-US"/>
    </w:rPr>
  </w:style>
  <w:style w:type="paragraph" w:customStyle="1" w:styleId="ABC-paragrahinNotes">
    <w:name w:val="ABC - paragrah in Notes"/>
    <w:link w:val="ABC-paragrahinNotes0"/>
    <w:rsid w:val="006B212D"/>
    <w:pPr>
      <w:spacing w:after="240"/>
      <w:jc w:val="both"/>
    </w:pPr>
    <w:rPr>
      <w:rFonts w:ascii="Arial" w:hAnsi="Arial" w:cs="Arial"/>
      <w:sz w:val="24"/>
      <w:szCs w:val="24"/>
      <w:lang w:val="en-GB" w:eastAsia="en-US"/>
    </w:rPr>
  </w:style>
  <w:style w:type="character" w:customStyle="1" w:styleId="ABC-paragrahinNotes0">
    <w:name w:val="ABC - paragrah in Notes Знак"/>
    <w:basedOn w:val="a0"/>
    <w:link w:val="ABC-paragrahinNotes"/>
    <w:rsid w:val="006B212D"/>
    <w:rPr>
      <w:rFonts w:ascii="Arial" w:hAnsi="Arial" w:cs="Arial"/>
      <w:sz w:val="24"/>
      <w:szCs w:val="24"/>
      <w:lang w:val="en-GB" w:eastAsia="en-US" w:bidi="ar-SA"/>
    </w:rPr>
  </w:style>
  <w:style w:type="character" w:customStyle="1" w:styleId="ABC-paragrahinNotesChar1">
    <w:name w:val="ABC - paragrah in Notes Char1"/>
    <w:basedOn w:val="a0"/>
    <w:rsid w:val="00276A47"/>
    <w:rPr>
      <w:rFonts w:ascii="Arial" w:eastAsia="Times New Roman" w:hAnsi="Arial" w:cs="Arial"/>
      <w:sz w:val="24"/>
      <w:szCs w:val="24"/>
      <w:lang w:val="en-GB" w:eastAsia="en-US" w:bidi="ar-SA"/>
    </w:rPr>
  </w:style>
  <w:style w:type="character" w:styleId="af5">
    <w:name w:val="page number"/>
    <w:basedOn w:val="a0"/>
    <w:rsid w:val="00494642"/>
  </w:style>
  <w:style w:type="paragraph" w:customStyle="1" w:styleId="11">
    <w:name w:val="1"/>
    <w:basedOn w:val="a"/>
    <w:rsid w:val="004911E7"/>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1D4F21"/>
    <w:rPr>
      <w:rFonts w:ascii="Verdana" w:hAnsi="Verdana" w:cs="Verdana"/>
      <w:sz w:val="20"/>
      <w:szCs w:val="20"/>
      <w:lang w:val="en-US" w:eastAsia="en-US"/>
    </w:rPr>
  </w:style>
  <w:style w:type="paragraph" w:styleId="af6">
    <w:name w:val="header"/>
    <w:aliases w:val="Header Char"/>
    <w:basedOn w:val="a"/>
    <w:link w:val="af7"/>
    <w:rsid w:val="005841B5"/>
    <w:pPr>
      <w:tabs>
        <w:tab w:val="center" w:pos="4677"/>
        <w:tab w:val="right" w:pos="9355"/>
      </w:tabs>
    </w:pPr>
  </w:style>
  <w:style w:type="character" w:customStyle="1" w:styleId="af7">
    <w:name w:val="Верхний колонтитул Знак"/>
    <w:aliases w:val="Header Char Знак"/>
    <w:basedOn w:val="a0"/>
    <w:link w:val="af6"/>
    <w:rsid w:val="004074A0"/>
    <w:rPr>
      <w:sz w:val="24"/>
      <w:szCs w:val="24"/>
      <w:lang w:val="ru-RU" w:eastAsia="ru-RU" w:bidi="ar-SA"/>
    </w:rPr>
  </w:style>
  <w:style w:type="paragraph" w:customStyle="1" w:styleId="af8">
    <w:name w:val="Знак Знак Знак"/>
    <w:basedOn w:val="a"/>
    <w:rsid w:val="006E72B5"/>
    <w:rPr>
      <w:rFonts w:ascii="Verdana" w:hAnsi="Verdana" w:cs="Verdana"/>
      <w:sz w:val="20"/>
      <w:szCs w:val="20"/>
      <w:lang w:val="en-US" w:eastAsia="en-US"/>
    </w:rPr>
  </w:style>
  <w:style w:type="paragraph" w:customStyle="1" w:styleId="rvps2">
    <w:name w:val="rvps2"/>
    <w:basedOn w:val="a"/>
    <w:rsid w:val="004C27DE"/>
    <w:pPr>
      <w:spacing w:before="100" w:beforeAutospacing="1" w:after="100" w:afterAutospacing="1"/>
    </w:pPr>
  </w:style>
  <w:style w:type="paragraph" w:customStyle="1" w:styleId="12">
    <w:name w:val="Абзац списка1"/>
    <w:basedOn w:val="a"/>
    <w:rsid w:val="002D44C0"/>
    <w:pPr>
      <w:ind w:left="720"/>
    </w:pPr>
    <w:rPr>
      <w:rFonts w:eastAsia="Calibri"/>
      <w:szCs w:val="20"/>
    </w:rPr>
  </w:style>
  <w:style w:type="paragraph" w:customStyle="1" w:styleId="Default">
    <w:name w:val="Default"/>
    <w:rsid w:val="007A0DDA"/>
    <w:pPr>
      <w:autoSpaceDE w:val="0"/>
      <w:autoSpaceDN w:val="0"/>
      <w:adjustRightInd w:val="0"/>
    </w:pPr>
    <w:rPr>
      <w:color w:val="000000"/>
      <w:sz w:val="24"/>
      <w:szCs w:val="24"/>
      <w:lang w:eastAsia="en-US"/>
    </w:rPr>
  </w:style>
  <w:style w:type="paragraph" w:styleId="af9">
    <w:name w:val="Title"/>
    <w:aliases w:val="Title Char"/>
    <w:basedOn w:val="a"/>
    <w:link w:val="afa"/>
    <w:qFormat/>
    <w:rsid w:val="004074A0"/>
    <w:pPr>
      <w:jc w:val="center"/>
    </w:pPr>
    <w:rPr>
      <w:b/>
      <w:sz w:val="20"/>
      <w:szCs w:val="20"/>
    </w:rPr>
  </w:style>
  <w:style w:type="character" w:customStyle="1" w:styleId="afa">
    <w:name w:val="Название Знак"/>
    <w:aliases w:val="Title Char Знак"/>
    <w:basedOn w:val="a0"/>
    <w:link w:val="af9"/>
    <w:rsid w:val="004074A0"/>
    <w:rPr>
      <w:b/>
      <w:lang w:eastAsia="ru-RU" w:bidi="ar-SA"/>
    </w:rPr>
  </w:style>
  <w:style w:type="paragraph" w:customStyle="1" w:styleId="13">
    <w:name w:val="Основной текст с отступом1"/>
    <w:basedOn w:val="a"/>
    <w:link w:val="BodyTextIndent"/>
    <w:semiHidden/>
    <w:rsid w:val="004074A0"/>
    <w:pPr>
      <w:spacing w:after="120"/>
      <w:ind w:left="283"/>
    </w:pPr>
    <w:rPr>
      <w:sz w:val="20"/>
      <w:szCs w:val="20"/>
    </w:rPr>
  </w:style>
  <w:style w:type="character" w:customStyle="1" w:styleId="BodyTextIndent">
    <w:name w:val="Body Text Indent Знак"/>
    <w:basedOn w:val="a0"/>
    <w:link w:val="13"/>
    <w:semiHidden/>
    <w:rsid w:val="004074A0"/>
    <w:rPr>
      <w:lang w:eastAsia="ru-RU" w:bidi="ar-SA"/>
    </w:rPr>
  </w:style>
  <w:style w:type="paragraph" w:customStyle="1" w:styleId="000Normal">
    <w:name w:val="000 Normal"/>
    <w:basedOn w:val="a"/>
    <w:link w:val="000Normal0"/>
    <w:rsid w:val="004074A0"/>
    <w:pPr>
      <w:overflowPunct w:val="0"/>
      <w:autoSpaceDE w:val="0"/>
      <w:autoSpaceDN w:val="0"/>
      <w:adjustRightInd w:val="0"/>
      <w:spacing w:before="60" w:after="40" w:line="220" w:lineRule="exact"/>
      <w:jc w:val="both"/>
      <w:textAlignment w:val="baseline"/>
    </w:pPr>
    <w:rPr>
      <w:rFonts w:ascii="Garamond" w:hAnsi="Garamond"/>
      <w:sz w:val="20"/>
      <w:szCs w:val="20"/>
      <w:lang w:val="en-GB"/>
    </w:rPr>
  </w:style>
  <w:style w:type="character" w:customStyle="1" w:styleId="000Normal0">
    <w:name w:val="000 Normal Знак"/>
    <w:basedOn w:val="a0"/>
    <w:link w:val="000Normal"/>
    <w:rsid w:val="004074A0"/>
    <w:rPr>
      <w:rFonts w:ascii="Garamond" w:hAnsi="Garamond"/>
      <w:lang w:val="en-GB" w:bidi="ar-SA"/>
    </w:rPr>
  </w:style>
  <w:style w:type="character" w:styleId="afb">
    <w:name w:val="Strong"/>
    <w:basedOn w:val="a0"/>
    <w:qFormat/>
    <w:rsid w:val="00C42A81"/>
    <w:rPr>
      <w:rFonts w:cs="Times New Roman"/>
      <w:b/>
      <w:bCs/>
    </w:rPr>
  </w:style>
  <w:style w:type="paragraph" w:customStyle="1" w:styleId="14">
    <w:name w:val="Без интервала1"/>
    <w:basedOn w:val="a"/>
    <w:rsid w:val="00C42A81"/>
    <w:rPr>
      <w:rFonts w:ascii="Cambria" w:eastAsia="Calibri" w:hAnsi="Cambria" w:cs="Cambria"/>
      <w:sz w:val="22"/>
      <w:szCs w:val="22"/>
      <w:lang w:val="en-US" w:eastAsia="en-US"/>
    </w:rPr>
  </w:style>
  <w:style w:type="paragraph" w:customStyle="1" w:styleId="310">
    <w:name w:val="Основной текст 31"/>
    <w:basedOn w:val="a"/>
    <w:rsid w:val="00C42A81"/>
    <w:pPr>
      <w:jc w:val="both"/>
    </w:pPr>
    <w:rPr>
      <w:rFonts w:eastAsia="Calibri"/>
      <w:szCs w:val="20"/>
      <w:lang w:val="uk-UA"/>
    </w:rPr>
  </w:style>
  <w:style w:type="paragraph" w:customStyle="1" w:styleId="15">
    <w:name w:val="Номер страницы1"/>
    <w:basedOn w:val="a"/>
    <w:rsid w:val="00C42A81"/>
    <w:pPr>
      <w:widowControl w:val="0"/>
      <w:suppressAutoHyphens/>
      <w:autoSpaceDE w:val="0"/>
    </w:pPr>
    <w:rPr>
      <w:rFonts w:eastAsia="Calibri"/>
      <w:szCs w:val="20"/>
    </w:rPr>
  </w:style>
  <w:style w:type="paragraph" w:customStyle="1" w:styleId="WW-2">
    <w:name w:val="WW-Основной текст 2"/>
    <w:basedOn w:val="a"/>
    <w:rsid w:val="00C42A81"/>
    <w:pPr>
      <w:suppressAutoHyphens/>
      <w:spacing w:before="120" w:after="120"/>
      <w:jc w:val="both"/>
    </w:pPr>
    <w:rPr>
      <w:rFonts w:ascii="Arial" w:eastAsia="Calibri" w:hAnsi="Arial" w:cs="Arial"/>
      <w:lang w:val="uk-UA"/>
    </w:rPr>
  </w:style>
  <w:style w:type="paragraph" w:customStyle="1" w:styleId="35">
    <w:name w:val="сновной текст 3"/>
    <w:basedOn w:val="a"/>
    <w:rsid w:val="00C42A81"/>
    <w:pPr>
      <w:widowControl w:val="0"/>
      <w:tabs>
        <w:tab w:val="left" w:pos="360"/>
      </w:tabs>
      <w:jc w:val="both"/>
    </w:pPr>
    <w:rPr>
      <w:rFonts w:eastAsia="Calibri"/>
      <w:sz w:val="28"/>
      <w:szCs w:val="20"/>
      <w:lang w:val="uk-UA"/>
    </w:rPr>
  </w:style>
  <w:style w:type="paragraph" w:customStyle="1" w:styleId="western">
    <w:name w:val="western"/>
    <w:basedOn w:val="a"/>
    <w:rsid w:val="00C42A81"/>
    <w:pPr>
      <w:spacing w:before="100" w:beforeAutospacing="1" w:after="100" w:afterAutospacing="1"/>
    </w:pPr>
    <w:rPr>
      <w:rFonts w:eastAsia="Calibri"/>
    </w:rPr>
  </w:style>
  <w:style w:type="character" w:customStyle="1" w:styleId="000NormalChar">
    <w:name w:val="000 Normal Char"/>
    <w:basedOn w:val="a0"/>
    <w:rsid w:val="00C42A81"/>
    <w:rPr>
      <w:rFonts w:ascii="Garamond" w:hAnsi="Garamond" w:cs="Times New Roman"/>
      <w:sz w:val="20"/>
      <w:szCs w:val="20"/>
      <w:lang w:val="en-GB"/>
    </w:rPr>
  </w:style>
  <w:style w:type="paragraph" w:customStyle="1" w:styleId="36">
    <w:name w:val="Знак Знак3 Знак"/>
    <w:basedOn w:val="a"/>
    <w:rsid w:val="00476568"/>
    <w:rPr>
      <w:rFonts w:ascii="Verdana" w:hAnsi="Verdana" w:cs="Verdana"/>
      <w:sz w:val="20"/>
      <w:szCs w:val="20"/>
      <w:lang w:val="en-US" w:eastAsia="en-US"/>
    </w:rPr>
  </w:style>
  <w:style w:type="paragraph" w:customStyle="1" w:styleId="37">
    <w:name w:val="Знак Знак3 Знак"/>
    <w:basedOn w:val="a"/>
    <w:rsid w:val="00604729"/>
    <w:rPr>
      <w:rFonts w:ascii="Verdana" w:hAnsi="Verdana" w:cs="Verdana"/>
      <w:sz w:val="20"/>
      <w:szCs w:val="20"/>
      <w:lang w:val="en-US" w:eastAsia="en-US"/>
    </w:rPr>
  </w:style>
  <w:style w:type="paragraph" w:customStyle="1" w:styleId="000NormalItalic">
    <w:name w:val="000 Normal + Italic"/>
    <w:aliases w:val="Left:  -0.1&quot;,Right:  -0.01&quot;,Before:  0 pt,After:  0 p..."/>
    <w:basedOn w:val="a"/>
    <w:uiPriority w:val="99"/>
    <w:rsid w:val="000E6A1B"/>
    <w:pPr>
      <w:overflowPunct w:val="0"/>
      <w:autoSpaceDE w:val="0"/>
      <w:autoSpaceDN w:val="0"/>
      <w:spacing w:before="60" w:after="40" w:line="220" w:lineRule="exact"/>
      <w:ind w:right="498"/>
    </w:pPr>
    <w:rPr>
      <w:rFonts w:ascii="Garamond" w:hAnsi="Garamond"/>
      <w:sz w:val="20"/>
      <w:szCs w:val="20"/>
    </w:rPr>
  </w:style>
  <w:style w:type="paragraph" w:styleId="afc">
    <w:name w:val="List Paragraph"/>
    <w:basedOn w:val="a"/>
    <w:link w:val="afd"/>
    <w:uiPriority w:val="34"/>
    <w:qFormat/>
    <w:rsid w:val="00EE31F6"/>
    <w:pPr>
      <w:ind w:left="720"/>
      <w:contextualSpacing/>
    </w:pPr>
  </w:style>
  <w:style w:type="paragraph" w:customStyle="1" w:styleId="38">
    <w:name w:val="Знак Знак3 Знак"/>
    <w:basedOn w:val="a"/>
    <w:rsid w:val="00CE7AAD"/>
    <w:rPr>
      <w:rFonts w:ascii="Verdana" w:hAnsi="Verdana" w:cs="Verdana"/>
      <w:sz w:val="20"/>
      <w:szCs w:val="20"/>
      <w:lang w:val="en-US" w:eastAsia="en-US"/>
    </w:rPr>
  </w:style>
  <w:style w:type="paragraph" w:customStyle="1" w:styleId="39">
    <w:name w:val="Знак Знак3 Знак"/>
    <w:basedOn w:val="a"/>
    <w:rsid w:val="008C2DD0"/>
    <w:rPr>
      <w:rFonts w:ascii="Verdana" w:hAnsi="Verdana" w:cs="Verdana"/>
      <w:sz w:val="20"/>
      <w:szCs w:val="20"/>
      <w:lang w:val="en-US" w:eastAsia="en-US"/>
    </w:rPr>
  </w:style>
  <w:style w:type="paragraph" w:customStyle="1" w:styleId="3a">
    <w:name w:val="Знак Знак3 Знак"/>
    <w:basedOn w:val="a"/>
    <w:rsid w:val="00A97900"/>
    <w:rPr>
      <w:rFonts w:ascii="Verdana"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E1492F"/>
    <w:rPr>
      <w:rFonts w:ascii="Verdana" w:hAnsi="Verdana" w:cs="Verdana"/>
      <w:sz w:val="20"/>
      <w:szCs w:val="20"/>
      <w:lang w:val="en-US" w:eastAsia="en-US"/>
    </w:rPr>
  </w:style>
  <w:style w:type="character" w:customStyle="1" w:styleId="hps">
    <w:name w:val="hps"/>
    <w:basedOn w:val="a0"/>
    <w:rsid w:val="009B5F0B"/>
  </w:style>
  <w:style w:type="character" w:customStyle="1" w:styleId="apple-converted-space">
    <w:name w:val="apple-converted-space"/>
    <w:basedOn w:val="a0"/>
    <w:rsid w:val="00573D17"/>
  </w:style>
  <w:style w:type="paragraph" w:customStyle="1" w:styleId="220">
    <w:name w:val="Основной текст 22"/>
    <w:basedOn w:val="a"/>
    <w:rsid w:val="00573D17"/>
    <w:pPr>
      <w:ind w:right="170"/>
      <w:jc w:val="both"/>
    </w:pPr>
    <w:rPr>
      <w:szCs w:val="20"/>
      <w:lang w:eastAsia="uk-UA"/>
    </w:rPr>
  </w:style>
  <w:style w:type="paragraph" w:customStyle="1" w:styleId="3b">
    <w:name w:val="Знак Знак3 Знак"/>
    <w:basedOn w:val="a"/>
    <w:rsid w:val="00573D17"/>
    <w:rPr>
      <w:rFonts w:ascii="Verdana" w:hAnsi="Verdana" w:cs="Verdana"/>
      <w:sz w:val="20"/>
      <w:szCs w:val="20"/>
      <w:lang w:val="en-US" w:eastAsia="en-US"/>
    </w:rPr>
  </w:style>
  <w:style w:type="paragraph" w:customStyle="1" w:styleId="3c">
    <w:name w:val="Знак Знак3 Знак"/>
    <w:basedOn w:val="a"/>
    <w:rsid w:val="00A44ADC"/>
    <w:rPr>
      <w:rFonts w:ascii="Verdana" w:hAnsi="Verdana" w:cs="Verdana"/>
      <w:sz w:val="20"/>
      <w:szCs w:val="20"/>
      <w:lang w:val="en-US" w:eastAsia="en-US"/>
    </w:rPr>
  </w:style>
  <w:style w:type="paragraph" w:customStyle="1" w:styleId="listparagraphcxspmiddle">
    <w:name w:val="listparagraphcxspmiddle"/>
    <w:basedOn w:val="a"/>
    <w:uiPriority w:val="99"/>
    <w:rsid w:val="00E1466E"/>
    <w:pPr>
      <w:spacing w:before="100" w:beforeAutospacing="1" w:after="100" w:afterAutospacing="1"/>
    </w:pPr>
  </w:style>
  <w:style w:type="paragraph" w:customStyle="1" w:styleId="3d">
    <w:name w:val="Знак Знак3 Знак"/>
    <w:basedOn w:val="a"/>
    <w:rsid w:val="00C81748"/>
    <w:rPr>
      <w:rFonts w:ascii="Verdana" w:hAnsi="Verdana" w:cs="Verdana"/>
      <w:sz w:val="20"/>
      <w:szCs w:val="20"/>
      <w:lang w:val="en-US" w:eastAsia="en-US"/>
    </w:rPr>
  </w:style>
  <w:style w:type="paragraph" w:customStyle="1" w:styleId="3e">
    <w:name w:val="Знак Знак3 Знак"/>
    <w:basedOn w:val="a"/>
    <w:rsid w:val="003013FA"/>
    <w:rPr>
      <w:rFonts w:ascii="Verdana" w:hAnsi="Verdana" w:cs="Verdana"/>
      <w:sz w:val="20"/>
      <w:szCs w:val="20"/>
      <w:lang w:val="en-US" w:eastAsia="en-US"/>
    </w:rPr>
  </w:style>
  <w:style w:type="paragraph" w:styleId="afe">
    <w:name w:val="Plain Text"/>
    <w:basedOn w:val="a"/>
    <w:link w:val="aff"/>
    <w:uiPriority w:val="99"/>
    <w:unhideWhenUsed/>
    <w:rsid w:val="00FC44B4"/>
    <w:rPr>
      <w:rFonts w:ascii="Consolas" w:hAnsi="Consolas" w:cs="Consolas"/>
      <w:sz w:val="21"/>
      <w:szCs w:val="21"/>
      <w:lang w:eastAsia="en-US"/>
    </w:rPr>
  </w:style>
  <w:style w:type="character" w:customStyle="1" w:styleId="aff">
    <w:name w:val="Текст Знак"/>
    <w:basedOn w:val="a0"/>
    <w:link w:val="afe"/>
    <w:uiPriority w:val="99"/>
    <w:rsid w:val="00FC44B4"/>
    <w:rPr>
      <w:rFonts w:ascii="Consolas" w:hAnsi="Consolas" w:cs="Consolas"/>
      <w:sz w:val="21"/>
      <w:szCs w:val="21"/>
      <w:lang w:eastAsia="en-US"/>
    </w:rPr>
  </w:style>
  <w:style w:type="paragraph" w:customStyle="1" w:styleId="StyleHeading3Garamond">
    <w:name w:val="Style Heading 3 + Garamond"/>
    <w:basedOn w:val="3"/>
    <w:autoRedefine/>
    <w:uiPriority w:val="99"/>
    <w:rsid w:val="00737082"/>
    <w:pPr>
      <w:numPr>
        <w:ilvl w:val="1"/>
        <w:numId w:val="18"/>
      </w:numPr>
      <w:tabs>
        <w:tab w:val="left" w:pos="567"/>
        <w:tab w:val="left" w:pos="993"/>
      </w:tabs>
      <w:overflowPunct w:val="0"/>
      <w:autoSpaceDE w:val="0"/>
      <w:autoSpaceDN w:val="0"/>
      <w:adjustRightInd w:val="0"/>
      <w:spacing w:before="0" w:after="0" w:line="240" w:lineRule="exact"/>
      <w:ind w:right="567"/>
      <w:jc w:val="both"/>
      <w:textAlignment w:val="baseline"/>
    </w:pPr>
    <w:rPr>
      <w:rFonts w:ascii="Times New Roman" w:hAnsi="Times New Roman" w:cs="Times New Roman"/>
      <w:bCs w:val="0"/>
      <w:sz w:val="24"/>
      <w:szCs w:val="24"/>
      <w:lang w:val="uk-UA" w:eastAsia="en-US"/>
    </w:rPr>
  </w:style>
  <w:style w:type="paragraph" w:customStyle="1" w:styleId="26">
    <w:name w:val="Абзац списка2"/>
    <w:basedOn w:val="a"/>
    <w:rsid w:val="00A751E7"/>
    <w:pPr>
      <w:spacing w:after="160" w:line="259" w:lineRule="auto"/>
      <w:ind w:left="720"/>
    </w:pPr>
    <w:rPr>
      <w:rFonts w:ascii="Calibri" w:hAnsi="Calibri"/>
      <w:sz w:val="22"/>
      <w:szCs w:val="22"/>
      <w:lang w:val="uk-UA" w:eastAsia="en-US"/>
    </w:rPr>
  </w:style>
  <w:style w:type="paragraph" w:styleId="HTML">
    <w:name w:val="HTML Preformatted"/>
    <w:basedOn w:val="a"/>
    <w:link w:val="HTML0"/>
    <w:uiPriority w:val="99"/>
    <w:rsid w:val="0059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6D30"/>
    <w:rPr>
      <w:rFonts w:ascii="Courier New" w:hAnsi="Courier New" w:cs="Courier New"/>
    </w:rPr>
  </w:style>
  <w:style w:type="paragraph" w:customStyle="1" w:styleId="xl73">
    <w:name w:val="xl73"/>
    <w:basedOn w:val="a"/>
    <w:rsid w:val="00596D30"/>
    <w:pPr>
      <w:pBdr>
        <w:right w:val="single" w:sz="8" w:space="0" w:color="auto"/>
      </w:pBdr>
      <w:shd w:val="clear" w:color="auto" w:fill="C0C0C0"/>
      <w:spacing w:before="100" w:beforeAutospacing="1" w:after="100" w:afterAutospacing="1"/>
    </w:pPr>
    <w:rPr>
      <w:rFonts w:ascii="Times New Roman CYR" w:hAnsi="Times New Roman CYR" w:cs="Times New Roman CYR"/>
    </w:rPr>
  </w:style>
  <w:style w:type="table" w:customStyle="1" w:styleId="16">
    <w:name w:val="Сетка таблицы1"/>
    <w:uiPriority w:val="99"/>
    <w:rsid w:val="00B63B3C"/>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Абзац списка Знак"/>
    <w:basedOn w:val="a0"/>
    <w:link w:val="afc"/>
    <w:uiPriority w:val="34"/>
    <w:locked/>
    <w:rsid w:val="00943884"/>
    <w:rPr>
      <w:sz w:val="24"/>
      <w:szCs w:val="24"/>
    </w:rPr>
  </w:style>
</w:styles>
</file>

<file path=word/webSettings.xml><?xml version="1.0" encoding="utf-8"?>
<w:webSettings xmlns:r="http://schemas.openxmlformats.org/officeDocument/2006/relationships" xmlns:w="http://schemas.openxmlformats.org/wordprocessingml/2006/main">
  <w:divs>
    <w:div w:id="7022974">
      <w:bodyDiv w:val="1"/>
      <w:marLeft w:val="0"/>
      <w:marRight w:val="0"/>
      <w:marTop w:val="0"/>
      <w:marBottom w:val="0"/>
      <w:divBdr>
        <w:top w:val="none" w:sz="0" w:space="0" w:color="auto"/>
        <w:left w:val="none" w:sz="0" w:space="0" w:color="auto"/>
        <w:bottom w:val="none" w:sz="0" w:space="0" w:color="auto"/>
        <w:right w:val="none" w:sz="0" w:space="0" w:color="auto"/>
      </w:divBdr>
    </w:div>
    <w:div w:id="18556470">
      <w:bodyDiv w:val="1"/>
      <w:marLeft w:val="0"/>
      <w:marRight w:val="0"/>
      <w:marTop w:val="0"/>
      <w:marBottom w:val="0"/>
      <w:divBdr>
        <w:top w:val="none" w:sz="0" w:space="0" w:color="auto"/>
        <w:left w:val="none" w:sz="0" w:space="0" w:color="auto"/>
        <w:bottom w:val="none" w:sz="0" w:space="0" w:color="auto"/>
        <w:right w:val="none" w:sz="0" w:space="0" w:color="auto"/>
      </w:divBdr>
    </w:div>
    <w:div w:id="26101035">
      <w:bodyDiv w:val="1"/>
      <w:marLeft w:val="0"/>
      <w:marRight w:val="0"/>
      <w:marTop w:val="0"/>
      <w:marBottom w:val="0"/>
      <w:divBdr>
        <w:top w:val="none" w:sz="0" w:space="0" w:color="auto"/>
        <w:left w:val="none" w:sz="0" w:space="0" w:color="auto"/>
        <w:bottom w:val="none" w:sz="0" w:space="0" w:color="auto"/>
        <w:right w:val="none" w:sz="0" w:space="0" w:color="auto"/>
      </w:divBdr>
    </w:div>
    <w:div w:id="58751119">
      <w:bodyDiv w:val="1"/>
      <w:marLeft w:val="0"/>
      <w:marRight w:val="0"/>
      <w:marTop w:val="0"/>
      <w:marBottom w:val="0"/>
      <w:divBdr>
        <w:top w:val="none" w:sz="0" w:space="0" w:color="auto"/>
        <w:left w:val="none" w:sz="0" w:space="0" w:color="auto"/>
        <w:bottom w:val="none" w:sz="0" w:space="0" w:color="auto"/>
        <w:right w:val="none" w:sz="0" w:space="0" w:color="auto"/>
      </w:divBdr>
    </w:div>
    <w:div w:id="59522938">
      <w:bodyDiv w:val="1"/>
      <w:marLeft w:val="0"/>
      <w:marRight w:val="0"/>
      <w:marTop w:val="0"/>
      <w:marBottom w:val="0"/>
      <w:divBdr>
        <w:top w:val="none" w:sz="0" w:space="0" w:color="auto"/>
        <w:left w:val="none" w:sz="0" w:space="0" w:color="auto"/>
        <w:bottom w:val="none" w:sz="0" w:space="0" w:color="auto"/>
        <w:right w:val="none" w:sz="0" w:space="0" w:color="auto"/>
      </w:divBdr>
    </w:div>
    <w:div w:id="62533151">
      <w:bodyDiv w:val="1"/>
      <w:marLeft w:val="0"/>
      <w:marRight w:val="0"/>
      <w:marTop w:val="0"/>
      <w:marBottom w:val="0"/>
      <w:divBdr>
        <w:top w:val="none" w:sz="0" w:space="0" w:color="auto"/>
        <w:left w:val="none" w:sz="0" w:space="0" w:color="auto"/>
        <w:bottom w:val="none" w:sz="0" w:space="0" w:color="auto"/>
        <w:right w:val="none" w:sz="0" w:space="0" w:color="auto"/>
      </w:divBdr>
      <w:divsChild>
        <w:div w:id="1896164041">
          <w:marLeft w:val="0"/>
          <w:marRight w:val="0"/>
          <w:marTop w:val="0"/>
          <w:marBottom w:val="0"/>
          <w:divBdr>
            <w:top w:val="none" w:sz="0" w:space="0" w:color="auto"/>
            <w:left w:val="none" w:sz="0" w:space="0" w:color="auto"/>
            <w:bottom w:val="none" w:sz="0" w:space="0" w:color="auto"/>
            <w:right w:val="none" w:sz="0" w:space="0" w:color="auto"/>
          </w:divBdr>
          <w:divsChild>
            <w:div w:id="1585721967">
              <w:marLeft w:val="0"/>
              <w:marRight w:val="0"/>
              <w:marTop w:val="0"/>
              <w:marBottom w:val="0"/>
              <w:divBdr>
                <w:top w:val="none" w:sz="0" w:space="0" w:color="auto"/>
                <w:left w:val="none" w:sz="0" w:space="0" w:color="auto"/>
                <w:bottom w:val="none" w:sz="0" w:space="0" w:color="auto"/>
                <w:right w:val="none" w:sz="0" w:space="0" w:color="auto"/>
              </w:divBdr>
            </w:div>
            <w:div w:id="1768842943">
              <w:marLeft w:val="0"/>
              <w:marRight w:val="0"/>
              <w:marTop w:val="0"/>
              <w:marBottom w:val="0"/>
              <w:divBdr>
                <w:top w:val="none" w:sz="0" w:space="0" w:color="auto"/>
                <w:left w:val="none" w:sz="0" w:space="0" w:color="auto"/>
                <w:bottom w:val="none" w:sz="0" w:space="0" w:color="auto"/>
                <w:right w:val="none" w:sz="0" w:space="0" w:color="auto"/>
              </w:divBdr>
            </w:div>
            <w:div w:id="1177764768">
              <w:marLeft w:val="0"/>
              <w:marRight w:val="0"/>
              <w:marTop w:val="0"/>
              <w:marBottom w:val="0"/>
              <w:divBdr>
                <w:top w:val="none" w:sz="0" w:space="0" w:color="auto"/>
                <w:left w:val="none" w:sz="0" w:space="0" w:color="auto"/>
                <w:bottom w:val="none" w:sz="0" w:space="0" w:color="auto"/>
                <w:right w:val="none" w:sz="0" w:space="0" w:color="auto"/>
              </w:divBdr>
            </w:div>
            <w:div w:id="2130970461">
              <w:marLeft w:val="0"/>
              <w:marRight w:val="0"/>
              <w:marTop w:val="0"/>
              <w:marBottom w:val="0"/>
              <w:divBdr>
                <w:top w:val="none" w:sz="0" w:space="0" w:color="auto"/>
                <w:left w:val="none" w:sz="0" w:space="0" w:color="auto"/>
                <w:bottom w:val="none" w:sz="0" w:space="0" w:color="auto"/>
                <w:right w:val="none" w:sz="0" w:space="0" w:color="auto"/>
              </w:divBdr>
            </w:div>
            <w:div w:id="114905949">
              <w:marLeft w:val="0"/>
              <w:marRight w:val="0"/>
              <w:marTop w:val="0"/>
              <w:marBottom w:val="0"/>
              <w:divBdr>
                <w:top w:val="none" w:sz="0" w:space="0" w:color="auto"/>
                <w:left w:val="none" w:sz="0" w:space="0" w:color="auto"/>
                <w:bottom w:val="none" w:sz="0" w:space="0" w:color="auto"/>
                <w:right w:val="none" w:sz="0" w:space="0" w:color="auto"/>
              </w:divBdr>
            </w:div>
            <w:div w:id="1003557956">
              <w:marLeft w:val="0"/>
              <w:marRight w:val="0"/>
              <w:marTop w:val="0"/>
              <w:marBottom w:val="0"/>
              <w:divBdr>
                <w:top w:val="none" w:sz="0" w:space="0" w:color="auto"/>
                <w:left w:val="none" w:sz="0" w:space="0" w:color="auto"/>
                <w:bottom w:val="none" w:sz="0" w:space="0" w:color="auto"/>
                <w:right w:val="none" w:sz="0" w:space="0" w:color="auto"/>
              </w:divBdr>
            </w:div>
            <w:div w:id="1872718761">
              <w:marLeft w:val="0"/>
              <w:marRight w:val="0"/>
              <w:marTop w:val="0"/>
              <w:marBottom w:val="0"/>
              <w:divBdr>
                <w:top w:val="none" w:sz="0" w:space="0" w:color="auto"/>
                <w:left w:val="none" w:sz="0" w:space="0" w:color="auto"/>
                <w:bottom w:val="none" w:sz="0" w:space="0" w:color="auto"/>
                <w:right w:val="none" w:sz="0" w:space="0" w:color="auto"/>
              </w:divBdr>
            </w:div>
            <w:div w:id="1632325403">
              <w:marLeft w:val="0"/>
              <w:marRight w:val="0"/>
              <w:marTop w:val="0"/>
              <w:marBottom w:val="0"/>
              <w:divBdr>
                <w:top w:val="none" w:sz="0" w:space="0" w:color="auto"/>
                <w:left w:val="none" w:sz="0" w:space="0" w:color="auto"/>
                <w:bottom w:val="none" w:sz="0" w:space="0" w:color="auto"/>
                <w:right w:val="none" w:sz="0" w:space="0" w:color="auto"/>
              </w:divBdr>
            </w:div>
            <w:div w:id="1333873693">
              <w:marLeft w:val="0"/>
              <w:marRight w:val="0"/>
              <w:marTop w:val="0"/>
              <w:marBottom w:val="0"/>
              <w:divBdr>
                <w:top w:val="none" w:sz="0" w:space="0" w:color="auto"/>
                <w:left w:val="none" w:sz="0" w:space="0" w:color="auto"/>
                <w:bottom w:val="none" w:sz="0" w:space="0" w:color="auto"/>
                <w:right w:val="none" w:sz="0" w:space="0" w:color="auto"/>
              </w:divBdr>
            </w:div>
            <w:div w:id="260140592">
              <w:marLeft w:val="0"/>
              <w:marRight w:val="0"/>
              <w:marTop w:val="0"/>
              <w:marBottom w:val="0"/>
              <w:divBdr>
                <w:top w:val="none" w:sz="0" w:space="0" w:color="auto"/>
                <w:left w:val="none" w:sz="0" w:space="0" w:color="auto"/>
                <w:bottom w:val="none" w:sz="0" w:space="0" w:color="auto"/>
                <w:right w:val="none" w:sz="0" w:space="0" w:color="auto"/>
              </w:divBdr>
            </w:div>
            <w:div w:id="15829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461">
      <w:bodyDiv w:val="1"/>
      <w:marLeft w:val="0"/>
      <w:marRight w:val="0"/>
      <w:marTop w:val="0"/>
      <w:marBottom w:val="0"/>
      <w:divBdr>
        <w:top w:val="none" w:sz="0" w:space="0" w:color="auto"/>
        <w:left w:val="none" w:sz="0" w:space="0" w:color="auto"/>
        <w:bottom w:val="none" w:sz="0" w:space="0" w:color="auto"/>
        <w:right w:val="none" w:sz="0" w:space="0" w:color="auto"/>
      </w:divBdr>
    </w:div>
    <w:div w:id="79058876">
      <w:bodyDiv w:val="1"/>
      <w:marLeft w:val="0"/>
      <w:marRight w:val="0"/>
      <w:marTop w:val="0"/>
      <w:marBottom w:val="0"/>
      <w:divBdr>
        <w:top w:val="none" w:sz="0" w:space="0" w:color="auto"/>
        <w:left w:val="none" w:sz="0" w:space="0" w:color="auto"/>
        <w:bottom w:val="none" w:sz="0" w:space="0" w:color="auto"/>
        <w:right w:val="none" w:sz="0" w:space="0" w:color="auto"/>
      </w:divBdr>
    </w:div>
    <w:div w:id="81536923">
      <w:bodyDiv w:val="1"/>
      <w:marLeft w:val="0"/>
      <w:marRight w:val="0"/>
      <w:marTop w:val="0"/>
      <w:marBottom w:val="0"/>
      <w:divBdr>
        <w:top w:val="none" w:sz="0" w:space="0" w:color="auto"/>
        <w:left w:val="none" w:sz="0" w:space="0" w:color="auto"/>
        <w:bottom w:val="none" w:sz="0" w:space="0" w:color="auto"/>
        <w:right w:val="none" w:sz="0" w:space="0" w:color="auto"/>
      </w:divBdr>
    </w:div>
    <w:div w:id="81948947">
      <w:bodyDiv w:val="1"/>
      <w:marLeft w:val="0"/>
      <w:marRight w:val="0"/>
      <w:marTop w:val="0"/>
      <w:marBottom w:val="0"/>
      <w:divBdr>
        <w:top w:val="none" w:sz="0" w:space="0" w:color="auto"/>
        <w:left w:val="none" w:sz="0" w:space="0" w:color="auto"/>
        <w:bottom w:val="none" w:sz="0" w:space="0" w:color="auto"/>
        <w:right w:val="none" w:sz="0" w:space="0" w:color="auto"/>
      </w:divBdr>
    </w:div>
    <w:div w:id="92164523">
      <w:bodyDiv w:val="1"/>
      <w:marLeft w:val="0"/>
      <w:marRight w:val="0"/>
      <w:marTop w:val="0"/>
      <w:marBottom w:val="0"/>
      <w:divBdr>
        <w:top w:val="none" w:sz="0" w:space="0" w:color="auto"/>
        <w:left w:val="none" w:sz="0" w:space="0" w:color="auto"/>
        <w:bottom w:val="none" w:sz="0" w:space="0" w:color="auto"/>
        <w:right w:val="none" w:sz="0" w:space="0" w:color="auto"/>
      </w:divBdr>
    </w:div>
    <w:div w:id="94837140">
      <w:bodyDiv w:val="1"/>
      <w:marLeft w:val="0"/>
      <w:marRight w:val="0"/>
      <w:marTop w:val="0"/>
      <w:marBottom w:val="0"/>
      <w:divBdr>
        <w:top w:val="none" w:sz="0" w:space="0" w:color="auto"/>
        <w:left w:val="none" w:sz="0" w:space="0" w:color="auto"/>
        <w:bottom w:val="none" w:sz="0" w:space="0" w:color="auto"/>
        <w:right w:val="none" w:sz="0" w:space="0" w:color="auto"/>
      </w:divBdr>
    </w:div>
    <w:div w:id="100615619">
      <w:bodyDiv w:val="1"/>
      <w:marLeft w:val="0"/>
      <w:marRight w:val="0"/>
      <w:marTop w:val="0"/>
      <w:marBottom w:val="0"/>
      <w:divBdr>
        <w:top w:val="none" w:sz="0" w:space="0" w:color="auto"/>
        <w:left w:val="none" w:sz="0" w:space="0" w:color="auto"/>
        <w:bottom w:val="none" w:sz="0" w:space="0" w:color="auto"/>
        <w:right w:val="none" w:sz="0" w:space="0" w:color="auto"/>
      </w:divBdr>
    </w:div>
    <w:div w:id="101188469">
      <w:bodyDiv w:val="1"/>
      <w:marLeft w:val="0"/>
      <w:marRight w:val="0"/>
      <w:marTop w:val="0"/>
      <w:marBottom w:val="0"/>
      <w:divBdr>
        <w:top w:val="none" w:sz="0" w:space="0" w:color="auto"/>
        <w:left w:val="none" w:sz="0" w:space="0" w:color="auto"/>
        <w:bottom w:val="none" w:sz="0" w:space="0" w:color="auto"/>
        <w:right w:val="none" w:sz="0" w:space="0" w:color="auto"/>
      </w:divBdr>
    </w:div>
    <w:div w:id="103500921">
      <w:bodyDiv w:val="1"/>
      <w:marLeft w:val="0"/>
      <w:marRight w:val="0"/>
      <w:marTop w:val="0"/>
      <w:marBottom w:val="0"/>
      <w:divBdr>
        <w:top w:val="none" w:sz="0" w:space="0" w:color="auto"/>
        <w:left w:val="none" w:sz="0" w:space="0" w:color="auto"/>
        <w:bottom w:val="none" w:sz="0" w:space="0" w:color="auto"/>
        <w:right w:val="none" w:sz="0" w:space="0" w:color="auto"/>
      </w:divBdr>
      <w:divsChild>
        <w:div w:id="1446465144">
          <w:marLeft w:val="0"/>
          <w:marRight w:val="0"/>
          <w:marTop w:val="0"/>
          <w:marBottom w:val="0"/>
          <w:divBdr>
            <w:top w:val="none" w:sz="0" w:space="0" w:color="auto"/>
            <w:left w:val="none" w:sz="0" w:space="0" w:color="auto"/>
            <w:bottom w:val="none" w:sz="0" w:space="0" w:color="auto"/>
            <w:right w:val="none" w:sz="0" w:space="0" w:color="auto"/>
          </w:divBdr>
          <w:divsChild>
            <w:div w:id="909776740">
              <w:marLeft w:val="0"/>
              <w:marRight w:val="0"/>
              <w:marTop w:val="0"/>
              <w:marBottom w:val="0"/>
              <w:divBdr>
                <w:top w:val="none" w:sz="0" w:space="0" w:color="auto"/>
                <w:left w:val="none" w:sz="0" w:space="0" w:color="auto"/>
                <w:bottom w:val="none" w:sz="0" w:space="0" w:color="auto"/>
                <w:right w:val="none" w:sz="0" w:space="0" w:color="auto"/>
              </w:divBdr>
              <w:divsChild>
                <w:div w:id="1532382345">
                  <w:marLeft w:val="0"/>
                  <w:marRight w:val="0"/>
                  <w:marTop w:val="0"/>
                  <w:marBottom w:val="0"/>
                  <w:divBdr>
                    <w:top w:val="none" w:sz="0" w:space="0" w:color="auto"/>
                    <w:left w:val="none" w:sz="0" w:space="0" w:color="auto"/>
                    <w:bottom w:val="none" w:sz="0" w:space="0" w:color="auto"/>
                    <w:right w:val="none" w:sz="0" w:space="0" w:color="auto"/>
                  </w:divBdr>
                  <w:divsChild>
                    <w:div w:id="538050829">
                      <w:marLeft w:val="0"/>
                      <w:marRight w:val="0"/>
                      <w:marTop w:val="0"/>
                      <w:marBottom w:val="0"/>
                      <w:divBdr>
                        <w:top w:val="none" w:sz="0" w:space="0" w:color="auto"/>
                        <w:left w:val="none" w:sz="0" w:space="0" w:color="auto"/>
                        <w:bottom w:val="none" w:sz="0" w:space="0" w:color="auto"/>
                        <w:right w:val="none" w:sz="0" w:space="0" w:color="auto"/>
                      </w:divBdr>
                      <w:divsChild>
                        <w:div w:id="502362108">
                          <w:marLeft w:val="0"/>
                          <w:marRight w:val="0"/>
                          <w:marTop w:val="0"/>
                          <w:marBottom w:val="0"/>
                          <w:divBdr>
                            <w:top w:val="none" w:sz="0" w:space="0" w:color="auto"/>
                            <w:left w:val="none" w:sz="0" w:space="0" w:color="auto"/>
                            <w:bottom w:val="none" w:sz="0" w:space="0" w:color="auto"/>
                            <w:right w:val="none" w:sz="0" w:space="0" w:color="auto"/>
                          </w:divBdr>
                          <w:divsChild>
                            <w:div w:id="495655605">
                              <w:marLeft w:val="0"/>
                              <w:marRight w:val="0"/>
                              <w:marTop w:val="0"/>
                              <w:marBottom w:val="0"/>
                              <w:divBdr>
                                <w:top w:val="none" w:sz="0" w:space="0" w:color="auto"/>
                                <w:left w:val="none" w:sz="0" w:space="0" w:color="auto"/>
                                <w:bottom w:val="none" w:sz="0" w:space="0" w:color="auto"/>
                                <w:right w:val="none" w:sz="0" w:space="0" w:color="auto"/>
                              </w:divBdr>
                            </w:div>
                            <w:div w:id="833372008">
                              <w:marLeft w:val="0"/>
                              <w:marRight w:val="0"/>
                              <w:marTop w:val="0"/>
                              <w:marBottom w:val="0"/>
                              <w:divBdr>
                                <w:top w:val="none" w:sz="0" w:space="0" w:color="auto"/>
                                <w:left w:val="none" w:sz="0" w:space="0" w:color="auto"/>
                                <w:bottom w:val="none" w:sz="0" w:space="0" w:color="auto"/>
                                <w:right w:val="none" w:sz="0" w:space="0" w:color="auto"/>
                              </w:divBdr>
                            </w:div>
                          </w:divsChild>
                        </w:div>
                        <w:div w:id="507060020">
                          <w:marLeft w:val="0"/>
                          <w:marRight w:val="0"/>
                          <w:marTop w:val="0"/>
                          <w:marBottom w:val="0"/>
                          <w:divBdr>
                            <w:top w:val="none" w:sz="0" w:space="0" w:color="auto"/>
                            <w:left w:val="none" w:sz="0" w:space="0" w:color="auto"/>
                            <w:bottom w:val="none" w:sz="0" w:space="0" w:color="auto"/>
                            <w:right w:val="none" w:sz="0" w:space="0" w:color="auto"/>
                          </w:divBdr>
                          <w:divsChild>
                            <w:div w:id="1666979909">
                              <w:marLeft w:val="0"/>
                              <w:marRight w:val="300"/>
                              <w:marTop w:val="180"/>
                              <w:marBottom w:val="0"/>
                              <w:divBdr>
                                <w:top w:val="none" w:sz="0" w:space="0" w:color="auto"/>
                                <w:left w:val="none" w:sz="0" w:space="0" w:color="auto"/>
                                <w:bottom w:val="none" w:sz="0" w:space="0" w:color="auto"/>
                                <w:right w:val="none" w:sz="0" w:space="0" w:color="auto"/>
                              </w:divBdr>
                              <w:divsChild>
                                <w:div w:id="10896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6079">
          <w:marLeft w:val="0"/>
          <w:marRight w:val="0"/>
          <w:marTop w:val="0"/>
          <w:marBottom w:val="0"/>
          <w:divBdr>
            <w:top w:val="none" w:sz="0" w:space="0" w:color="auto"/>
            <w:left w:val="none" w:sz="0" w:space="0" w:color="auto"/>
            <w:bottom w:val="none" w:sz="0" w:space="0" w:color="auto"/>
            <w:right w:val="none" w:sz="0" w:space="0" w:color="auto"/>
          </w:divBdr>
          <w:divsChild>
            <w:div w:id="2108383447">
              <w:marLeft w:val="0"/>
              <w:marRight w:val="0"/>
              <w:marTop w:val="0"/>
              <w:marBottom w:val="0"/>
              <w:divBdr>
                <w:top w:val="none" w:sz="0" w:space="0" w:color="auto"/>
                <w:left w:val="none" w:sz="0" w:space="0" w:color="auto"/>
                <w:bottom w:val="none" w:sz="0" w:space="0" w:color="auto"/>
                <w:right w:val="none" w:sz="0" w:space="0" w:color="auto"/>
              </w:divBdr>
              <w:divsChild>
                <w:div w:id="1584948875">
                  <w:marLeft w:val="0"/>
                  <w:marRight w:val="0"/>
                  <w:marTop w:val="0"/>
                  <w:marBottom w:val="0"/>
                  <w:divBdr>
                    <w:top w:val="none" w:sz="0" w:space="0" w:color="auto"/>
                    <w:left w:val="none" w:sz="0" w:space="0" w:color="auto"/>
                    <w:bottom w:val="none" w:sz="0" w:space="0" w:color="auto"/>
                    <w:right w:val="none" w:sz="0" w:space="0" w:color="auto"/>
                  </w:divBdr>
                  <w:divsChild>
                    <w:div w:id="689795509">
                      <w:marLeft w:val="0"/>
                      <w:marRight w:val="0"/>
                      <w:marTop w:val="0"/>
                      <w:marBottom w:val="0"/>
                      <w:divBdr>
                        <w:top w:val="none" w:sz="0" w:space="0" w:color="auto"/>
                        <w:left w:val="none" w:sz="0" w:space="0" w:color="auto"/>
                        <w:bottom w:val="none" w:sz="0" w:space="0" w:color="auto"/>
                        <w:right w:val="none" w:sz="0" w:space="0" w:color="auto"/>
                      </w:divBdr>
                      <w:divsChild>
                        <w:div w:id="16907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44355">
      <w:bodyDiv w:val="1"/>
      <w:marLeft w:val="0"/>
      <w:marRight w:val="0"/>
      <w:marTop w:val="0"/>
      <w:marBottom w:val="0"/>
      <w:divBdr>
        <w:top w:val="none" w:sz="0" w:space="0" w:color="auto"/>
        <w:left w:val="none" w:sz="0" w:space="0" w:color="auto"/>
        <w:bottom w:val="none" w:sz="0" w:space="0" w:color="auto"/>
        <w:right w:val="none" w:sz="0" w:space="0" w:color="auto"/>
      </w:divBdr>
    </w:div>
    <w:div w:id="110975513">
      <w:bodyDiv w:val="1"/>
      <w:marLeft w:val="0"/>
      <w:marRight w:val="0"/>
      <w:marTop w:val="0"/>
      <w:marBottom w:val="0"/>
      <w:divBdr>
        <w:top w:val="none" w:sz="0" w:space="0" w:color="auto"/>
        <w:left w:val="none" w:sz="0" w:space="0" w:color="auto"/>
        <w:bottom w:val="none" w:sz="0" w:space="0" w:color="auto"/>
        <w:right w:val="none" w:sz="0" w:space="0" w:color="auto"/>
      </w:divBdr>
    </w:div>
    <w:div w:id="117574054">
      <w:bodyDiv w:val="1"/>
      <w:marLeft w:val="0"/>
      <w:marRight w:val="0"/>
      <w:marTop w:val="0"/>
      <w:marBottom w:val="0"/>
      <w:divBdr>
        <w:top w:val="none" w:sz="0" w:space="0" w:color="auto"/>
        <w:left w:val="none" w:sz="0" w:space="0" w:color="auto"/>
        <w:bottom w:val="none" w:sz="0" w:space="0" w:color="auto"/>
        <w:right w:val="none" w:sz="0" w:space="0" w:color="auto"/>
      </w:divBdr>
    </w:div>
    <w:div w:id="131215809">
      <w:bodyDiv w:val="1"/>
      <w:marLeft w:val="0"/>
      <w:marRight w:val="0"/>
      <w:marTop w:val="0"/>
      <w:marBottom w:val="0"/>
      <w:divBdr>
        <w:top w:val="none" w:sz="0" w:space="0" w:color="auto"/>
        <w:left w:val="none" w:sz="0" w:space="0" w:color="auto"/>
        <w:bottom w:val="none" w:sz="0" w:space="0" w:color="auto"/>
        <w:right w:val="none" w:sz="0" w:space="0" w:color="auto"/>
      </w:divBdr>
    </w:div>
    <w:div w:id="136723298">
      <w:bodyDiv w:val="1"/>
      <w:marLeft w:val="0"/>
      <w:marRight w:val="0"/>
      <w:marTop w:val="0"/>
      <w:marBottom w:val="0"/>
      <w:divBdr>
        <w:top w:val="none" w:sz="0" w:space="0" w:color="auto"/>
        <w:left w:val="none" w:sz="0" w:space="0" w:color="auto"/>
        <w:bottom w:val="none" w:sz="0" w:space="0" w:color="auto"/>
        <w:right w:val="none" w:sz="0" w:space="0" w:color="auto"/>
      </w:divBdr>
    </w:div>
    <w:div w:id="151333891">
      <w:bodyDiv w:val="1"/>
      <w:marLeft w:val="0"/>
      <w:marRight w:val="0"/>
      <w:marTop w:val="0"/>
      <w:marBottom w:val="0"/>
      <w:divBdr>
        <w:top w:val="none" w:sz="0" w:space="0" w:color="auto"/>
        <w:left w:val="none" w:sz="0" w:space="0" w:color="auto"/>
        <w:bottom w:val="none" w:sz="0" w:space="0" w:color="auto"/>
        <w:right w:val="none" w:sz="0" w:space="0" w:color="auto"/>
      </w:divBdr>
    </w:div>
    <w:div w:id="159200092">
      <w:bodyDiv w:val="1"/>
      <w:marLeft w:val="0"/>
      <w:marRight w:val="0"/>
      <w:marTop w:val="0"/>
      <w:marBottom w:val="0"/>
      <w:divBdr>
        <w:top w:val="none" w:sz="0" w:space="0" w:color="auto"/>
        <w:left w:val="none" w:sz="0" w:space="0" w:color="auto"/>
        <w:bottom w:val="none" w:sz="0" w:space="0" w:color="auto"/>
        <w:right w:val="none" w:sz="0" w:space="0" w:color="auto"/>
      </w:divBdr>
    </w:div>
    <w:div w:id="175190323">
      <w:bodyDiv w:val="1"/>
      <w:marLeft w:val="0"/>
      <w:marRight w:val="0"/>
      <w:marTop w:val="0"/>
      <w:marBottom w:val="0"/>
      <w:divBdr>
        <w:top w:val="none" w:sz="0" w:space="0" w:color="auto"/>
        <w:left w:val="none" w:sz="0" w:space="0" w:color="auto"/>
        <w:bottom w:val="none" w:sz="0" w:space="0" w:color="auto"/>
        <w:right w:val="none" w:sz="0" w:space="0" w:color="auto"/>
      </w:divBdr>
    </w:div>
    <w:div w:id="199439651">
      <w:bodyDiv w:val="1"/>
      <w:marLeft w:val="0"/>
      <w:marRight w:val="0"/>
      <w:marTop w:val="0"/>
      <w:marBottom w:val="0"/>
      <w:divBdr>
        <w:top w:val="none" w:sz="0" w:space="0" w:color="auto"/>
        <w:left w:val="none" w:sz="0" w:space="0" w:color="auto"/>
        <w:bottom w:val="none" w:sz="0" w:space="0" w:color="auto"/>
        <w:right w:val="none" w:sz="0" w:space="0" w:color="auto"/>
      </w:divBdr>
    </w:div>
    <w:div w:id="210966229">
      <w:bodyDiv w:val="1"/>
      <w:marLeft w:val="0"/>
      <w:marRight w:val="0"/>
      <w:marTop w:val="0"/>
      <w:marBottom w:val="0"/>
      <w:divBdr>
        <w:top w:val="none" w:sz="0" w:space="0" w:color="auto"/>
        <w:left w:val="none" w:sz="0" w:space="0" w:color="auto"/>
        <w:bottom w:val="none" w:sz="0" w:space="0" w:color="auto"/>
        <w:right w:val="none" w:sz="0" w:space="0" w:color="auto"/>
      </w:divBdr>
    </w:div>
    <w:div w:id="216472889">
      <w:bodyDiv w:val="1"/>
      <w:marLeft w:val="0"/>
      <w:marRight w:val="0"/>
      <w:marTop w:val="0"/>
      <w:marBottom w:val="0"/>
      <w:divBdr>
        <w:top w:val="none" w:sz="0" w:space="0" w:color="auto"/>
        <w:left w:val="none" w:sz="0" w:space="0" w:color="auto"/>
        <w:bottom w:val="none" w:sz="0" w:space="0" w:color="auto"/>
        <w:right w:val="none" w:sz="0" w:space="0" w:color="auto"/>
      </w:divBdr>
    </w:div>
    <w:div w:id="229579369">
      <w:bodyDiv w:val="1"/>
      <w:marLeft w:val="0"/>
      <w:marRight w:val="0"/>
      <w:marTop w:val="0"/>
      <w:marBottom w:val="0"/>
      <w:divBdr>
        <w:top w:val="none" w:sz="0" w:space="0" w:color="auto"/>
        <w:left w:val="none" w:sz="0" w:space="0" w:color="auto"/>
        <w:bottom w:val="none" w:sz="0" w:space="0" w:color="auto"/>
        <w:right w:val="none" w:sz="0" w:space="0" w:color="auto"/>
      </w:divBdr>
      <w:divsChild>
        <w:div w:id="862984537">
          <w:marLeft w:val="0"/>
          <w:marRight w:val="0"/>
          <w:marTop w:val="0"/>
          <w:marBottom w:val="0"/>
          <w:divBdr>
            <w:top w:val="none" w:sz="0" w:space="0" w:color="auto"/>
            <w:left w:val="none" w:sz="0" w:space="0" w:color="auto"/>
            <w:bottom w:val="none" w:sz="0" w:space="0" w:color="auto"/>
            <w:right w:val="none" w:sz="0" w:space="0" w:color="auto"/>
          </w:divBdr>
        </w:div>
      </w:divsChild>
    </w:div>
    <w:div w:id="294682330">
      <w:bodyDiv w:val="1"/>
      <w:marLeft w:val="0"/>
      <w:marRight w:val="0"/>
      <w:marTop w:val="0"/>
      <w:marBottom w:val="0"/>
      <w:divBdr>
        <w:top w:val="none" w:sz="0" w:space="0" w:color="auto"/>
        <w:left w:val="none" w:sz="0" w:space="0" w:color="auto"/>
        <w:bottom w:val="none" w:sz="0" w:space="0" w:color="auto"/>
        <w:right w:val="none" w:sz="0" w:space="0" w:color="auto"/>
      </w:divBdr>
    </w:div>
    <w:div w:id="307901753">
      <w:bodyDiv w:val="1"/>
      <w:marLeft w:val="0"/>
      <w:marRight w:val="0"/>
      <w:marTop w:val="0"/>
      <w:marBottom w:val="0"/>
      <w:divBdr>
        <w:top w:val="none" w:sz="0" w:space="0" w:color="auto"/>
        <w:left w:val="none" w:sz="0" w:space="0" w:color="auto"/>
        <w:bottom w:val="none" w:sz="0" w:space="0" w:color="auto"/>
        <w:right w:val="none" w:sz="0" w:space="0" w:color="auto"/>
      </w:divBdr>
    </w:div>
    <w:div w:id="310982832">
      <w:bodyDiv w:val="1"/>
      <w:marLeft w:val="0"/>
      <w:marRight w:val="0"/>
      <w:marTop w:val="0"/>
      <w:marBottom w:val="0"/>
      <w:divBdr>
        <w:top w:val="none" w:sz="0" w:space="0" w:color="auto"/>
        <w:left w:val="none" w:sz="0" w:space="0" w:color="auto"/>
        <w:bottom w:val="none" w:sz="0" w:space="0" w:color="auto"/>
        <w:right w:val="none" w:sz="0" w:space="0" w:color="auto"/>
      </w:divBdr>
    </w:div>
    <w:div w:id="314457277">
      <w:bodyDiv w:val="1"/>
      <w:marLeft w:val="0"/>
      <w:marRight w:val="0"/>
      <w:marTop w:val="0"/>
      <w:marBottom w:val="0"/>
      <w:divBdr>
        <w:top w:val="none" w:sz="0" w:space="0" w:color="auto"/>
        <w:left w:val="none" w:sz="0" w:space="0" w:color="auto"/>
        <w:bottom w:val="none" w:sz="0" w:space="0" w:color="auto"/>
        <w:right w:val="none" w:sz="0" w:space="0" w:color="auto"/>
      </w:divBdr>
    </w:div>
    <w:div w:id="322196900">
      <w:bodyDiv w:val="1"/>
      <w:marLeft w:val="0"/>
      <w:marRight w:val="0"/>
      <w:marTop w:val="0"/>
      <w:marBottom w:val="0"/>
      <w:divBdr>
        <w:top w:val="none" w:sz="0" w:space="0" w:color="auto"/>
        <w:left w:val="none" w:sz="0" w:space="0" w:color="auto"/>
        <w:bottom w:val="none" w:sz="0" w:space="0" w:color="auto"/>
        <w:right w:val="none" w:sz="0" w:space="0" w:color="auto"/>
      </w:divBdr>
    </w:div>
    <w:div w:id="322203101">
      <w:bodyDiv w:val="1"/>
      <w:marLeft w:val="0"/>
      <w:marRight w:val="0"/>
      <w:marTop w:val="0"/>
      <w:marBottom w:val="0"/>
      <w:divBdr>
        <w:top w:val="none" w:sz="0" w:space="0" w:color="auto"/>
        <w:left w:val="none" w:sz="0" w:space="0" w:color="auto"/>
        <w:bottom w:val="none" w:sz="0" w:space="0" w:color="auto"/>
        <w:right w:val="none" w:sz="0" w:space="0" w:color="auto"/>
      </w:divBdr>
    </w:div>
    <w:div w:id="344020021">
      <w:bodyDiv w:val="1"/>
      <w:marLeft w:val="0"/>
      <w:marRight w:val="0"/>
      <w:marTop w:val="0"/>
      <w:marBottom w:val="0"/>
      <w:divBdr>
        <w:top w:val="none" w:sz="0" w:space="0" w:color="auto"/>
        <w:left w:val="none" w:sz="0" w:space="0" w:color="auto"/>
        <w:bottom w:val="none" w:sz="0" w:space="0" w:color="auto"/>
        <w:right w:val="none" w:sz="0" w:space="0" w:color="auto"/>
      </w:divBdr>
    </w:div>
    <w:div w:id="350036484">
      <w:bodyDiv w:val="1"/>
      <w:marLeft w:val="0"/>
      <w:marRight w:val="0"/>
      <w:marTop w:val="0"/>
      <w:marBottom w:val="0"/>
      <w:divBdr>
        <w:top w:val="none" w:sz="0" w:space="0" w:color="auto"/>
        <w:left w:val="none" w:sz="0" w:space="0" w:color="auto"/>
        <w:bottom w:val="none" w:sz="0" w:space="0" w:color="auto"/>
        <w:right w:val="none" w:sz="0" w:space="0" w:color="auto"/>
      </w:divBdr>
    </w:div>
    <w:div w:id="365639586">
      <w:bodyDiv w:val="1"/>
      <w:marLeft w:val="0"/>
      <w:marRight w:val="0"/>
      <w:marTop w:val="0"/>
      <w:marBottom w:val="0"/>
      <w:divBdr>
        <w:top w:val="none" w:sz="0" w:space="0" w:color="auto"/>
        <w:left w:val="none" w:sz="0" w:space="0" w:color="auto"/>
        <w:bottom w:val="none" w:sz="0" w:space="0" w:color="auto"/>
        <w:right w:val="none" w:sz="0" w:space="0" w:color="auto"/>
      </w:divBdr>
    </w:div>
    <w:div w:id="367798213">
      <w:bodyDiv w:val="1"/>
      <w:marLeft w:val="0"/>
      <w:marRight w:val="0"/>
      <w:marTop w:val="0"/>
      <w:marBottom w:val="0"/>
      <w:divBdr>
        <w:top w:val="none" w:sz="0" w:space="0" w:color="auto"/>
        <w:left w:val="none" w:sz="0" w:space="0" w:color="auto"/>
        <w:bottom w:val="none" w:sz="0" w:space="0" w:color="auto"/>
        <w:right w:val="none" w:sz="0" w:space="0" w:color="auto"/>
      </w:divBdr>
    </w:div>
    <w:div w:id="385184536">
      <w:bodyDiv w:val="1"/>
      <w:marLeft w:val="0"/>
      <w:marRight w:val="0"/>
      <w:marTop w:val="0"/>
      <w:marBottom w:val="0"/>
      <w:divBdr>
        <w:top w:val="none" w:sz="0" w:space="0" w:color="auto"/>
        <w:left w:val="none" w:sz="0" w:space="0" w:color="auto"/>
        <w:bottom w:val="none" w:sz="0" w:space="0" w:color="auto"/>
        <w:right w:val="none" w:sz="0" w:space="0" w:color="auto"/>
      </w:divBdr>
    </w:div>
    <w:div w:id="395780069">
      <w:bodyDiv w:val="1"/>
      <w:marLeft w:val="0"/>
      <w:marRight w:val="0"/>
      <w:marTop w:val="0"/>
      <w:marBottom w:val="0"/>
      <w:divBdr>
        <w:top w:val="none" w:sz="0" w:space="0" w:color="auto"/>
        <w:left w:val="none" w:sz="0" w:space="0" w:color="auto"/>
        <w:bottom w:val="none" w:sz="0" w:space="0" w:color="auto"/>
        <w:right w:val="none" w:sz="0" w:space="0" w:color="auto"/>
      </w:divBdr>
    </w:div>
    <w:div w:id="396514787">
      <w:bodyDiv w:val="1"/>
      <w:marLeft w:val="0"/>
      <w:marRight w:val="0"/>
      <w:marTop w:val="0"/>
      <w:marBottom w:val="0"/>
      <w:divBdr>
        <w:top w:val="none" w:sz="0" w:space="0" w:color="auto"/>
        <w:left w:val="none" w:sz="0" w:space="0" w:color="auto"/>
        <w:bottom w:val="none" w:sz="0" w:space="0" w:color="auto"/>
        <w:right w:val="none" w:sz="0" w:space="0" w:color="auto"/>
      </w:divBdr>
    </w:div>
    <w:div w:id="398331754">
      <w:bodyDiv w:val="1"/>
      <w:marLeft w:val="0"/>
      <w:marRight w:val="0"/>
      <w:marTop w:val="0"/>
      <w:marBottom w:val="0"/>
      <w:divBdr>
        <w:top w:val="none" w:sz="0" w:space="0" w:color="auto"/>
        <w:left w:val="none" w:sz="0" w:space="0" w:color="auto"/>
        <w:bottom w:val="none" w:sz="0" w:space="0" w:color="auto"/>
        <w:right w:val="none" w:sz="0" w:space="0" w:color="auto"/>
      </w:divBdr>
    </w:div>
    <w:div w:id="398601885">
      <w:bodyDiv w:val="1"/>
      <w:marLeft w:val="0"/>
      <w:marRight w:val="0"/>
      <w:marTop w:val="0"/>
      <w:marBottom w:val="0"/>
      <w:divBdr>
        <w:top w:val="none" w:sz="0" w:space="0" w:color="auto"/>
        <w:left w:val="none" w:sz="0" w:space="0" w:color="auto"/>
        <w:bottom w:val="none" w:sz="0" w:space="0" w:color="auto"/>
        <w:right w:val="none" w:sz="0" w:space="0" w:color="auto"/>
      </w:divBdr>
    </w:div>
    <w:div w:id="399013446">
      <w:bodyDiv w:val="1"/>
      <w:marLeft w:val="0"/>
      <w:marRight w:val="0"/>
      <w:marTop w:val="0"/>
      <w:marBottom w:val="0"/>
      <w:divBdr>
        <w:top w:val="none" w:sz="0" w:space="0" w:color="auto"/>
        <w:left w:val="none" w:sz="0" w:space="0" w:color="auto"/>
        <w:bottom w:val="none" w:sz="0" w:space="0" w:color="auto"/>
        <w:right w:val="none" w:sz="0" w:space="0" w:color="auto"/>
      </w:divBdr>
    </w:div>
    <w:div w:id="420761623">
      <w:bodyDiv w:val="1"/>
      <w:marLeft w:val="0"/>
      <w:marRight w:val="0"/>
      <w:marTop w:val="0"/>
      <w:marBottom w:val="0"/>
      <w:divBdr>
        <w:top w:val="none" w:sz="0" w:space="0" w:color="auto"/>
        <w:left w:val="none" w:sz="0" w:space="0" w:color="auto"/>
        <w:bottom w:val="none" w:sz="0" w:space="0" w:color="auto"/>
        <w:right w:val="none" w:sz="0" w:space="0" w:color="auto"/>
      </w:divBdr>
    </w:div>
    <w:div w:id="424690905">
      <w:bodyDiv w:val="1"/>
      <w:marLeft w:val="0"/>
      <w:marRight w:val="0"/>
      <w:marTop w:val="0"/>
      <w:marBottom w:val="0"/>
      <w:divBdr>
        <w:top w:val="none" w:sz="0" w:space="0" w:color="auto"/>
        <w:left w:val="none" w:sz="0" w:space="0" w:color="auto"/>
        <w:bottom w:val="none" w:sz="0" w:space="0" w:color="auto"/>
        <w:right w:val="none" w:sz="0" w:space="0" w:color="auto"/>
      </w:divBdr>
    </w:div>
    <w:div w:id="440875718">
      <w:bodyDiv w:val="1"/>
      <w:marLeft w:val="0"/>
      <w:marRight w:val="0"/>
      <w:marTop w:val="0"/>
      <w:marBottom w:val="0"/>
      <w:divBdr>
        <w:top w:val="none" w:sz="0" w:space="0" w:color="auto"/>
        <w:left w:val="none" w:sz="0" w:space="0" w:color="auto"/>
        <w:bottom w:val="none" w:sz="0" w:space="0" w:color="auto"/>
        <w:right w:val="none" w:sz="0" w:space="0" w:color="auto"/>
      </w:divBdr>
    </w:div>
    <w:div w:id="451827303">
      <w:bodyDiv w:val="1"/>
      <w:marLeft w:val="0"/>
      <w:marRight w:val="0"/>
      <w:marTop w:val="0"/>
      <w:marBottom w:val="0"/>
      <w:divBdr>
        <w:top w:val="none" w:sz="0" w:space="0" w:color="auto"/>
        <w:left w:val="none" w:sz="0" w:space="0" w:color="auto"/>
        <w:bottom w:val="none" w:sz="0" w:space="0" w:color="auto"/>
        <w:right w:val="none" w:sz="0" w:space="0" w:color="auto"/>
      </w:divBdr>
    </w:div>
    <w:div w:id="453409351">
      <w:bodyDiv w:val="1"/>
      <w:marLeft w:val="0"/>
      <w:marRight w:val="0"/>
      <w:marTop w:val="0"/>
      <w:marBottom w:val="0"/>
      <w:divBdr>
        <w:top w:val="none" w:sz="0" w:space="0" w:color="auto"/>
        <w:left w:val="none" w:sz="0" w:space="0" w:color="auto"/>
        <w:bottom w:val="none" w:sz="0" w:space="0" w:color="auto"/>
        <w:right w:val="none" w:sz="0" w:space="0" w:color="auto"/>
      </w:divBdr>
    </w:div>
    <w:div w:id="482697297">
      <w:bodyDiv w:val="1"/>
      <w:marLeft w:val="0"/>
      <w:marRight w:val="0"/>
      <w:marTop w:val="0"/>
      <w:marBottom w:val="0"/>
      <w:divBdr>
        <w:top w:val="none" w:sz="0" w:space="0" w:color="auto"/>
        <w:left w:val="none" w:sz="0" w:space="0" w:color="auto"/>
        <w:bottom w:val="none" w:sz="0" w:space="0" w:color="auto"/>
        <w:right w:val="none" w:sz="0" w:space="0" w:color="auto"/>
      </w:divBdr>
    </w:div>
    <w:div w:id="497696776">
      <w:bodyDiv w:val="1"/>
      <w:marLeft w:val="0"/>
      <w:marRight w:val="0"/>
      <w:marTop w:val="0"/>
      <w:marBottom w:val="0"/>
      <w:divBdr>
        <w:top w:val="none" w:sz="0" w:space="0" w:color="auto"/>
        <w:left w:val="none" w:sz="0" w:space="0" w:color="auto"/>
        <w:bottom w:val="none" w:sz="0" w:space="0" w:color="auto"/>
        <w:right w:val="none" w:sz="0" w:space="0" w:color="auto"/>
      </w:divBdr>
    </w:div>
    <w:div w:id="510026183">
      <w:bodyDiv w:val="1"/>
      <w:marLeft w:val="0"/>
      <w:marRight w:val="0"/>
      <w:marTop w:val="0"/>
      <w:marBottom w:val="0"/>
      <w:divBdr>
        <w:top w:val="none" w:sz="0" w:space="0" w:color="auto"/>
        <w:left w:val="none" w:sz="0" w:space="0" w:color="auto"/>
        <w:bottom w:val="none" w:sz="0" w:space="0" w:color="auto"/>
        <w:right w:val="none" w:sz="0" w:space="0" w:color="auto"/>
      </w:divBdr>
    </w:div>
    <w:div w:id="522209185">
      <w:bodyDiv w:val="1"/>
      <w:marLeft w:val="0"/>
      <w:marRight w:val="0"/>
      <w:marTop w:val="0"/>
      <w:marBottom w:val="0"/>
      <w:divBdr>
        <w:top w:val="none" w:sz="0" w:space="0" w:color="auto"/>
        <w:left w:val="none" w:sz="0" w:space="0" w:color="auto"/>
        <w:bottom w:val="none" w:sz="0" w:space="0" w:color="auto"/>
        <w:right w:val="none" w:sz="0" w:space="0" w:color="auto"/>
      </w:divBdr>
    </w:div>
    <w:div w:id="527528395">
      <w:bodyDiv w:val="1"/>
      <w:marLeft w:val="0"/>
      <w:marRight w:val="0"/>
      <w:marTop w:val="0"/>
      <w:marBottom w:val="0"/>
      <w:divBdr>
        <w:top w:val="none" w:sz="0" w:space="0" w:color="auto"/>
        <w:left w:val="none" w:sz="0" w:space="0" w:color="auto"/>
        <w:bottom w:val="none" w:sz="0" w:space="0" w:color="auto"/>
        <w:right w:val="none" w:sz="0" w:space="0" w:color="auto"/>
      </w:divBdr>
    </w:div>
    <w:div w:id="528877078">
      <w:bodyDiv w:val="1"/>
      <w:marLeft w:val="0"/>
      <w:marRight w:val="0"/>
      <w:marTop w:val="0"/>
      <w:marBottom w:val="0"/>
      <w:divBdr>
        <w:top w:val="none" w:sz="0" w:space="0" w:color="auto"/>
        <w:left w:val="none" w:sz="0" w:space="0" w:color="auto"/>
        <w:bottom w:val="none" w:sz="0" w:space="0" w:color="auto"/>
        <w:right w:val="none" w:sz="0" w:space="0" w:color="auto"/>
      </w:divBdr>
    </w:div>
    <w:div w:id="539131781">
      <w:bodyDiv w:val="1"/>
      <w:marLeft w:val="0"/>
      <w:marRight w:val="0"/>
      <w:marTop w:val="0"/>
      <w:marBottom w:val="0"/>
      <w:divBdr>
        <w:top w:val="none" w:sz="0" w:space="0" w:color="auto"/>
        <w:left w:val="none" w:sz="0" w:space="0" w:color="auto"/>
        <w:bottom w:val="none" w:sz="0" w:space="0" w:color="auto"/>
        <w:right w:val="none" w:sz="0" w:space="0" w:color="auto"/>
      </w:divBdr>
    </w:div>
    <w:div w:id="554045612">
      <w:bodyDiv w:val="1"/>
      <w:marLeft w:val="0"/>
      <w:marRight w:val="0"/>
      <w:marTop w:val="0"/>
      <w:marBottom w:val="0"/>
      <w:divBdr>
        <w:top w:val="none" w:sz="0" w:space="0" w:color="auto"/>
        <w:left w:val="none" w:sz="0" w:space="0" w:color="auto"/>
        <w:bottom w:val="none" w:sz="0" w:space="0" w:color="auto"/>
        <w:right w:val="none" w:sz="0" w:space="0" w:color="auto"/>
      </w:divBdr>
      <w:divsChild>
        <w:div w:id="999312072">
          <w:marLeft w:val="0"/>
          <w:marRight w:val="0"/>
          <w:marTop w:val="0"/>
          <w:marBottom w:val="0"/>
          <w:divBdr>
            <w:top w:val="none" w:sz="0" w:space="0" w:color="auto"/>
            <w:left w:val="none" w:sz="0" w:space="0" w:color="auto"/>
            <w:bottom w:val="none" w:sz="0" w:space="0" w:color="auto"/>
            <w:right w:val="none" w:sz="0" w:space="0" w:color="auto"/>
          </w:divBdr>
          <w:divsChild>
            <w:div w:id="1615944248">
              <w:marLeft w:val="0"/>
              <w:marRight w:val="0"/>
              <w:marTop w:val="0"/>
              <w:marBottom w:val="0"/>
              <w:divBdr>
                <w:top w:val="none" w:sz="0" w:space="0" w:color="auto"/>
                <w:left w:val="none" w:sz="0" w:space="0" w:color="auto"/>
                <w:bottom w:val="none" w:sz="0" w:space="0" w:color="auto"/>
                <w:right w:val="none" w:sz="0" w:space="0" w:color="auto"/>
              </w:divBdr>
              <w:divsChild>
                <w:div w:id="1687637130">
                  <w:marLeft w:val="0"/>
                  <w:marRight w:val="0"/>
                  <w:marTop w:val="0"/>
                  <w:marBottom w:val="0"/>
                  <w:divBdr>
                    <w:top w:val="none" w:sz="0" w:space="0" w:color="auto"/>
                    <w:left w:val="none" w:sz="0" w:space="0" w:color="auto"/>
                    <w:bottom w:val="none" w:sz="0" w:space="0" w:color="auto"/>
                    <w:right w:val="none" w:sz="0" w:space="0" w:color="auto"/>
                  </w:divBdr>
                  <w:divsChild>
                    <w:div w:id="682898872">
                      <w:marLeft w:val="0"/>
                      <w:marRight w:val="0"/>
                      <w:marTop w:val="0"/>
                      <w:marBottom w:val="0"/>
                      <w:divBdr>
                        <w:top w:val="none" w:sz="0" w:space="0" w:color="auto"/>
                        <w:left w:val="none" w:sz="0" w:space="0" w:color="auto"/>
                        <w:bottom w:val="none" w:sz="0" w:space="0" w:color="auto"/>
                        <w:right w:val="none" w:sz="0" w:space="0" w:color="auto"/>
                      </w:divBdr>
                      <w:divsChild>
                        <w:div w:id="1356689690">
                          <w:marLeft w:val="0"/>
                          <w:marRight w:val="0"/>
                          <w:marTop w:val="0"/>
                          <w:marBottom w:val="0"/>
                          <w:divBdr>
                            <w:top w:val="none" w:sz="0" w:space="0" w:color="auto"/>
                            <w:left w:val="none" w:sz="0" w:space="0" w:color="auto"/>
                            <w:bottom w:val="none" w:sz="0" w:space="0" w:color="auto"/>
                            <w:right w:val="none" w:sz="0" w:space="0" w:color="auto"/>
                          </w:divBdr>
                          <w:divsChild>
                            <w:div w:id="117726431">
                              <w:marLeft w:val="0"/>
                              <w:marRight w:val="0"/>
                              <w:marTop w:val="0"/>
                              <w:marBottom w:val="0"/>
                              <w:divBdr>
                                <w:top w:val="none" w:sz="0" w:space="0" w:color="auto"/>
                                <w:left w:val="none" w:sz="0" w:space="0" w:color="auto"/>
                                <w:bottom w:val="none" w:sz="0" w:space="0" w:color="auto"/>
                                <w:right w:val="none" w:sz="0" w:space="0" w:color="auto"/>
                              </w:divBdr>
                            </w:div>
                            <w:div w:id="88350784">
                              <w:marLeft w:val="0"/>
                              <w:marRight w:val="0"/>
                              <w:marTop w:val="0"/>
                              <w:marBottom w:val="0"/>
                              <w:divBdr>
                                <w:top w:val="none" w:sz="0" w:space="0" w:color="auto"/>
                                <w:left w:val="none" w:sz="0" w:space="0" w:color="auto"/>
                                <w:bottom w:val="none" w:sz="0" w:space="0" w:color="auto"/>
                                <w:right w:val="none" w:sz="0" w:space="0" w:color="auto"/>
                              </w:divBdr>
                            </w:div>
                          </w:divsChild>
                        </w:div>
                        <w:div w:id="183369899">
                          <w:marLeft w:val="0"/>
                          <w:marRight w:val="0"/>
                          <w:marTop w:val="0"/>
                          <w:marBottom w:val="0"/>
                          <w:divBdr>
                            <w:top w:val="none" w:sz="0" w:space="0" w:color="auto"/>
                            <w:left w:val="none" w:sz="0" w:space="0" w:color="auto"/>
                            <w:bottom w:val="none" w:sz="0" w:space="0" w:color="auto"/>
                            <w:right w:val="none" w:sz="0" w:space="0" w:color="auto"/>
                          </w:divBdr>
                          <w:divsChild>
                            <w:div w:id="38744945">
                              <w:marLeft w:val="0"/>
                              <w:marRight w:val="300"/>
                              <w:marTop w:val="180"/>
                              <w:marBottom w:val="0"/>
                              <w:divBdr>
                                <w:top w:val="none" w:sz="0" w:space="0" w:color="auto"/>
                                <w:left w:val="none" w:sz="0" w:space="0" w:color="auto"/>
                                <w:bottom w:val="none" w:sz="0" w:space="0" w:color="auto"/>
                                <w:right w:val="none" w:sz="0" w:space="0" w:color="auto"/>
                              </w:divBdr>
                              <w:divsChild>
                                <w:div w:id="3809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4550">
          <w:marLeft w:val="0"/>
          <w:marRight w:val="0"/>
          <w:marTop w:val="0"/>
          <w:marBottom w:val="0"/>
          <w:divBdr>
            <w:top w:val="none" w:sz="0" w:space="0" w:color="auto"/>
            <w:left w:val="none" w:sz="0" w:space="0" w:color="auto"/>
            <w:bottom w:val="none" w:sz="0" w:space="0" w:color="auto"/>
            <w:right w:val="none" w:sz="0" w:space="0" w:color="auto"/>
          </w:divBdr>
          <w:divsChild>
            <w:div w:id="2039314874">
              <w:marLeft w:val="0"/>
              <w:marRight w:val="0"/>
              <w:marTop w:val="0"/>
              <w:marBottom w:val="0"/>
              <w:divBdr>
                <w:top w:val="none" w:sz="0" w:space="0" w:color="auto"/>
                <w:left w:val="none" w:sz="0" w:space="0" w:color="auto"/>
                <w:bottom w:val="none" w:sz="0" w:space="0" w:color="auto"/>
                <w:right w:val="none" w:sz="0" w:space="0" w:color="auto"/>
              </w:divBdr>
              <w:divsChild>
                <w:div w:id="592904502">
                  <w:marLeft w:val="0"/>
                  <w:marRight w:val="0"/>
                  <w:marTop w:val="0"/>
                  <w:marBottom w:val="0"/>
                  <w:divBdr>
                    <w:top w:val="none" w:sz="0" w:space="0" w:color="auto"/>
                    <w:left w:val="none" w:sz="0" w:space="0" w:color="auto"/>
                    <w:bottom w:val="none" w:sz="0" w:space="0" w:color="auto"/>
                    <w:right w:val="none" w:sz="0" w:space="0" w:color="auto"/>
                  </w:divBdr>
                  <w:divsChild>
                    <w:div w:id="1526794815">
                      <w:marLeft w:val="0"/>
                      <w:marRight w:val="0"/>
                      <w:marTop w:val="0"/>
                      <w:marBottom w:val="0"/>
                      <w:divBdr>
                        <w:top w:val="none" w:sz="0" w:space="0" w:color="auto"/>
                        <w:left w:val="none" w:sz="0" w:space="0" w:color="auto"/>
                        <w:bottom w:val="none" w:sz="0" w:space="0" w:color="auto"/>
                        <w:right w:val="none" w:sz="0" w:space="0" w:color="auto"/>
                      </w:divBdr>
                      <w:divsChild>
                        <w:div w:id="516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176">
      <w:bodyDiv w:val="1"/>
      <w:marLeft w:val="0"/>
      <w:marRight w:val="0"/>
      <w:marTop w:val="0"/>
      <w:marBottom w:val="0"/>
      <w:divBdr>
        <w:top w:val="none" w:sz="0" w:space="0" w:color="auto"/>
        <w:left w:val="none" w:sz="0" w:space="0" w:color="auto"/>
        <w:bottom w:val="none" w:sz="0" w:space="0" w:color="auto"/>
        <w:right w:val="none" w:sz="0" w:space="0" w:color="auto"/>
      </w:divBdr>
    </w:div>
    <w:div w:id="558131580">
      <w:bodyDiv w:val="1"/>
      <w:marLeft w:val="0"/>
      <w:marRight w:val="0"/>
      <w:marTop w:val="0"/>
      <w:marBottom w:val="0"/>
      <w:divBdr>
        <w:top w:val="none" w:sz="0" w:space="0" w:color="auto"/>
        <w:left w:val="none" w:sz="0" w:space="0" w:color="auto"/>
        <w:bottom w:val="none" w:sz="0" w:space="0" w:color="auto"/>
        <w:right w:val="none" w:sz="0" w:space="0" w:color="auto"/>
      </w:divBdr>
    </w:div>
    <w:div w:id="559440516">
      <w:bodyDiv w:val="1"/>
      <w:marLeft w:val="0"/>
      <w:marRight w:val="0"/>
      <w:marTop w:val="0"/>
      <w:marBottom w:val="0"/>
      <w:divBdr>
        <w:top w:val="none" w:sz="0" w:space="0" w:color="auto"/>
        <w:left w:val="none" w:sz="0" w:space="0" w:color="auto"/>
        <w:bottom w:val="none" w:sz="0" w:space="0" w:color="auto"/>
        <w:right w:val="none" w:sz="0" w:space="0" w:color="auto"/>
      </w:divBdr>
    </w:div>
    <w:div w:id="559482478">
      <w:bodyDiv w:val="1"/>
      <w:marLeft w:val="0"/>
      <w:marRight w:val="0"/>
      <w:marTop w:val="0"/>
      <w:marBottom w:val="0"/>
      <w:divBdr>
        <w:top w:val="none" w:sz="0" w:space="0" w:color="auto"/>
        <w:left w:val="none" w:sz="0" w:space="0" w:color="auto"/>
        <w:bottom w:val="none" w:sz="0" w:space="0" w:color="auto"/>
        <w:right w:val="none" w:sz="0" w:space="0" w:color="auto"/>
      </w:divBdr>
    </w:div>
    <w:div w:id="624895449">
      <w:bodyDiv w:val="1"/>
      <w:marLeft w:val="0"/>
      <w:marRight w:val="0"/>
      <w:marTop w:val="0"/>
      <w:marBottom w:val="0"/>
      <w:divBdr>
        <w:top w:val="none" w:sz="0" w:space="0" w:color="auto"/>
        <w:left w:val="none" w:sz="0" w:space="0" w:color="auto"/>
        <w:bottom w:val="none" w:sz="0" w:space="0" w:color="auto"/>
        <w:right w:val="none" w:sz="0" w:space="0" w:color="auto"/>
      </w:divBdr>
    </w:div>
    <w:div w:id="635062557">
      <w:bodyDiv w:val="1"/>
      <w:marLeft w:val="0"/>
      <w:marRight w:val="0"/>
      <w:marTop w:val="0"/>
      <w:marBottom w:val="0"/>
      <w:divBdr>
        <w:top w:val="none" w:sz="0" w:space="0" w:color="auto"/>
        <w:left w:val="none" w:sz="0" w:space="0" w:color="auto"/>
        <w:bottom w:val="none" w:sz="0" w:space="0" w:color="auto"/>
        <w:right w:val="none" w:sz="0" w:space="0" w:color="auto"/>
      </w:divBdr>
    </w:div>
    <w:div w:id="640159136">
      <w:bodyDiv w:val="1"/>
      <w:marLeft w:val="0"/>
      <w:marRight w:val="0"/>
      <w:marTop w:val="0"/>
      <w:marBottom w:val="0"/>
      <w:divBdr>
        <w:top w:val="none" w:sz="0" w:space="0" w:color="auto"/>
        <w:left w:val="none" w:sz="0" w:space="0" w:color="auto"/>
        <w:bottom w:val="none" w:sz="0" w:space="0" w:color="auto"/>
        <w:right w:val="none" w:sz="0" w:space="0" w:color="auto"/>
      </w:divBdr>
    </w:div>
    <w:div w:id="648945808">
      <w:bodyDiv w:val="1"/>
      <w:marLeft w:val="0"/>
      <w:marRight w:val="0"/>
      <w:marTop w:val="0"/>
      <w:marBottom w:val="0"/>
      <w:divBdr>
        <w:top w:val="none" w:sz="0" w:space="0" w:color="auto"/>
        <w:left w:val="none" w:sz="0" w:space="0" w:color="auto"/>
        <w:bottom w:val="none" w:sz="0" w:space="0" w:color="auto"/>
        <w:right w:val="none" w:sz="0" w:space="0" w:color="auto"/>
      </w:divBdr>
    </w:div>
    <w:div w:id="650795688">
      <w:bodyDiv w:val="1"/>
      <w:marLeft w:val="0"/>
      <w:marRight w:val="0"/>
      <w:marTop w:val="0"/>
      <w:marBottom w:val="0"/>
      <w:divBdr>
        <w:top w:val="none" w:sz="0" w:space="0" w:color="auto"/>
        <w:left w:val="none" w:sz="0" w:space="0" w:color="auto"/>
        <w:bottom w:val="none" w:sz="0" w:space="0" w:color="auto"/>
        <w:right w:val="none" w:sz="0" w:space="0" w:color="auto"/>
      </w:divBdr>
    </w:div>
    <w:div w:id="659429914">
      <w:bodyDiv w:val="1"/>
      <w:marLeft w:val="0"/>
      <w:marRight w:val="0"/>
      <w:marTop w:val="0"/>
      <w:marBottom w:val="0"/>
      <w:divBdr>
        <w:top w:val="none" w:sz="0" w:space="0" w:color="auto"/>
        <w:left w:val="none" w:sz="0" w:space="0" w:color="auto"/>
        <w:bottom w:val="none" w:sz="0" w:space="0" w:color="auto"/>
        <w:right w:val="none" w:sz="0" w:space="0" w:color="auto"/>
      </w:divBdr>
    </w:div>
    <w:div w:id="665013667">
      <w:bodyDiv w:val="1"/>
      <w:marLeft w:val="0"/>
      <w:marRight w:val="0"/>
      <w:marTop w:val="0"/>
      <w:marBottom w:val="0"/>
      <w:divBdr>
        <w:top w:val="none" w:sz="0" w:space="0" w:color="auto"/>
        <w:left w:val="none" w:sz="0" w:space="0" w:color="auto"/>
        <w:bottom w:val="none" w:sz="0" w:space="0" w:color="auto"/>
        <w:right w:val="none" w:sz="0" w:space="0" w:color="auto"/>
      </w:divBdr>
    </w:div>
    <w:div w:id="668027323">
      <w:bodyDiv w:val="1"/>
      <w:marLeft w:val="0"/>
      <w:marRight w:val="0"/>
      <w:marTop w:val="0"/>
      <w:marBottom w:val="0"/>
      <w:divBdr>
        <w:top w:val="none" w:sz="0" w:space="0" w:color="auto"/>
        <w:left w:val="none" w:sz="0" w:space="0" w:color="auto"/>
        <w:bottom w:val="none" w:sz="0" w:space="0" w:color="auto"/>
        <w:right w:val="none" w:sz="0" w:space="0" w:color="auto"/>
      </w:divBdr>
    </w:div>
    <w:div w:id="669017650">
      <w:bodyDiv w:val="1"/>
      <w:marLeft w:val="0"/>
      <w:marRight w:val="0"/>
      <w:marTop w:val="0"/>
      <w:marBottom w:val="0"/>
      <w:divBdr>
        <w:top w:val="none" w:sz="0" w:space="0" w:color="auto"/>
        <w:left w:val="none" w:sz="0" w:space="0" w:color="auto"/>
        <w:bottom w:val="none" w:sz="0" w:space="0" w:color="auto"/>
        <w:right w:val="none" w:sz="0" w:space="0" w:color="auto"/>
      </w:divBdr>
    </w:div>
    <w:div w:id="713116260">
      <w:bodyDiv w:val="1"/>
      <w:marLeft w:val="0"/>
      <w:marRight w:val="0"/>
      <w:marTop w:val="0"/>
      <w:marBottom w:val="0"/>
      <w:divBdr>
        <w:top w:val="none" w:sz="0" w:space="0" w:color="auto"/>
        <w:left w:val="none" w:sz="0" w:space="0" w:color="auto"/>
        <w:bottom w:val="none" w:sz="0" w:space="0" w:color="auto"/>
        <w:right w:val="none" w:sz="0" w:space="0" w:color="auto"/>
      </w:divBdr>
    </w:div>
    <w:div w:id="713624816">
      <w:bodyDiv w:val="1"/>
      <w:marLeft w:val="0"/>
      <w:marRight w:val="0"/>
      <w:marTop w:val="0"/>
      <w:marBottom w:val="0"/>
      <w:divBdr>
        <w:top w:val="none" w:sz="0" w:space="0" w:color="auto"/>
        <w:left w:val="none" w:sz="0" w:space="0" w:color="auto"/>
        <w:bottom w:val="none" w:sz="0" w:space="0" w:color="auto"/>
        <w:right w:val="none" w:sz="0" w:space="0" w:color="auto"/>
      </w:divBdr>
    </w:div>
    <w:div w:id="716778601">
      <w:bodyDiv w:val="1"/>
      <w:marLeft w:val="0"/>
      <w:marRight w:val="0"/>
      <w:marTop w:val="0"/>
      <w:marBottom w:val="0"/>
      <w:divBdr>
        <w:top w:val="none" w:sz="0" w:space="0" w:color="auto"/>
        <w:left w:val="none" w:sz="0" w:space="0" w:color="auto"/>
        <w:bottom w:val="none" w:sz="0" w:space="0" w:color="auto"/>
        <w:right w:val="none" w:sz="0" w:space="0" w:color="auto"/>
      </w:divBdr>
    </w:div>
    <w:div w:id="785974906">
      <w:bodyDiv w:val="1"/>
      <w:marLeft w:val="0"/>
      <w:marRight w:val="0"/>
      <w:marTop w:val="0"/>
      <w:marBottom w:val="0"/>
      <w:divBdr>
        <w:top w:val="none" w:sz="0" w:space="0" w:color="auto"/>
        <w:left w:val="none" w:sz="0" w:space="0" w:color="auto"/>
        <w:bottom w:val="none" w:sz="0" w:space="0" w:color="auto"/>
        <w:right w:val="none" w:sz="0" w:space="0" w:color="auto"/>
      </w:divBdr>
    </w:div>
    <w:div w:id="794711238">
      <w:bodyDiv w:val="1"/>
      <w:marLeft w:val="0"/>
      <w:marRight w:val="0"/>
      <w:marTop w:val="0"/>
      <w:marBottom w:val="0"/>
      <w:divBdr>
        <w:top w:val="none" w:sz="0" w:space="0" w:color="auto"/>
        <w:left w:val="none" w:sz="0" w:space="0" w:color="auto"/>
        <w:bottom w:val="none" w:sz="0" w:space="0" w:color="auto"/>
        <w:right w:val="none" w:sz="0" w:space="0" w:color="auto"/>
      </w:divBdr>
    </w:div>
    <w:div w:id="813185058">
      <w:bodyDiv w:val="1"/>
      <w:marLeft w:val="0"/>
      <w:marRight w:val="0"/>
      <w:marTop w:val="0"/>
      <w:marBottom w:val="0"/>
      <w:divBdr>
        <w:top w:val="none" w:sz="0" w:space="0" w:color="auto"/>
        <w:left w:val="none" w:sz="0" w:space="0" w:color="auto"/>
        <w:bottom w:val="none" w:sz="0" w:space="0" w:color="auto"/>
        <w:right w:val="none" w:sz="0" w:space="0" w:color="auto"/>
      </w:divBdr>
    </w:div>
    <w:div w:id="855462157">
      <w:bodyDiv w:val="1"/>
      <w:marLeft w:val="0"/>
      <w:marRight w:val="0"/>
      <w:marTop w:val="0"/>
      <w:marBottom w:val="0"/>
      <w:divBdr>
        <w:top w:val="none" w:sz="0" w:space="0" w:color="auto"/>
        <w:left w:val="none" w:sz="0" w:space="0" w:color="auto"/>
        <w:bottom w:val="none" w:sz="0" w:space="0" w:color="auto"/>
        <w:right w:val="none" w:sz="0" w:space="0" w:color="auto"/>
      </w:divBdr>
    </w:div>
    <w:div w:id="856847393">
      <w:bodyDiv w:val="1"/>
      <w:marLeft w:val="0"/>
      <w:marRight w:val="0"/>
      <w:marTop w:val="0"/>
      <w:marBottom w:val="0"/>
      <w:divBdr>
        <w:top w:val="none" w:sz="0" w:space="0" w:color="auto"/>
        <w:left w:val="none" w:sz="0" w:space="0" w:color="auto"/>
        <w:bottom w:val="none" w:sz="0" w:space="0" w:color="auto"/>
        <w:right w:val="none" w:sz="0" w:space="0" w:color="auto"/>
      </w:divBdr>
    </w:div>
    <w:div w:id="881136333">
      <w:bodyDiv w:val="1"/>
      <w:marLeft w:val="0"/>
      <w:marRight w:val="0"/>
      <w:marTop w:val="0"/>
      <w:marBottom w:val="0"/>
      <w:divBdr>
        <w:top w:val="none" w:sz="0" w:space="0" w:color="auto"/>
        <w:left w:val="none" w:sz="0" w:space="0" w:color="auto"/>
        <w:bottom w:val="none" w:sz="0" w:space="0" w:color="auto"/>
        <w:right w:val="none" w:sz="0" w:space="0" w:color="auto"/>
      </w:divBdr>
    </w:div>
    <w:div w:id="893613801">
      <w:bodyDiv w:val="1"/>
      <w:marLeft w:val="0"/>
      <w:marRight w:val="0"/>
      <w:marTop w:val="0"/>
      <w:marBottom w:val="0"/>
      <w:divBdr>
        <w:top w:val="none" w:sz="0" w:space="0" w:color="auto"/>
        <w:left w:val="none" w:sz="0" w:space="0" w:color="auto"/>
        <w:bottom w:val="none" w:sz="0" w:space="0" w:color="auto"/>
        <w:right w:val="none" w:sz="0" w:space="0" w:color="auto"/>
      </w:divBdr>
    </w:div>
    <w:div w:id="895749589">
      <w:bodyDiv w:val="1"/>
      <w:marLeft w:val="0"/>
      <w:marRight w:val="0"/>
      <w:marTop w:val="0"/>
      <w:marBottom w:val="0"/>
      <w:divBdr>
        <w:top w:val="none" w:sz="0" w:space="0" w:color="auto"/>
        <w:left w:val="none" w:sz="0" w:space="0" w:color="auto"/>
        <w:bottom w:val="none" w:sz="0" w:space="0" w:color="auto"/>
        <w:right w:val="none" w:sz="0" w:space="0" w:color="auto"/>
      </w:divBdr>
    </w:div>
    <w:div w:id="915744223">
      <w:bodyDiv w:val="1"/>
      <w:marLeft w:val="0"/>
      <w:marRight w:val="0"/>
      <w:marTop w:val="0"/>
      <w:marBottom w:val="0"/>
      <w:divBdr>
        <w:top w:val="none" w:sz="0" w:space="0" w:color="auto"/>
        <w:left w:val="none" w:sz="0" w:space="0" w:color="auto"/>
        <w:bottom w:val="none" w:sz="0" w:space="0" w:color="auto"/>
        <w:right w:val="none" w:sz="0" w:space="0" w:color="auto"/>
      </w:divBdr>
    </w:div>
    <w:div w:id="916329679">
      <w:bodyDiv w:val="1"/>
      <w:marLeft w:val="0"/>
      <w:marRight w:val="0"/>
      <w:marTop w:val="0"/>
      <w:marBottom w:val="0"/>
      <w:divBdr>
        <w:top w:val="none" w:sz="0" w:space="0" w:color="auto"/>
        <w:left w:val="none" w:sz="0" w:space="0" w:color="auto"/>
        <w:bottom w:val="none" w:sz="0" w:space="0" w:color="auto"/>
        <w:right w:val="none" w:sz="0" w:space="0" w:color="auto"/>
      </w:divBdr>
    </w:div>
    <w:div w:id="917402472">
      <w:bodyDiv w:val="1"/>
      <w:marLeft w:val="0"/>
      <w:marRight w:val="0"/>
      <w:marTop w:val="0"/>
      <w:marBottom w:val="0"/>
      <w:divBdr>
        <w:top w:val="none" w:sz="0" w:space="0" w:color="auto"/>
        <w:left w:val="none" w:sz="0" w:space="0" w:color="auto"/>
        <w:bottom w:val="none" w:sz="0" w:space="0" w:color="auto"/>
        <w:right w:val="none" w:sz="0" w:space="0" w:color="auto"/>
      </w:divBdr>
    </w:div>
    <w:div w:id="918950755">
      <w:bodyDiv w:val="1"/>
      <w:marLeft w:val="0"/>
      <w:marRight w:val="0"/>
      <w:marTop w:val="0"/>
      <w:marBottom w:val="0"/>
      <w:divBdr>
        <w:top w:val="none" w:sz="0" w:space="0" w:color="auto"/>
        <w:left w:val="none" w:sz="0" w:space="0" w:color="auto"/>
        <w:bottom w:val="none" w:sz="0" w:space="0" w:color="auto"/>
        <w:right w:val="none" w:sz="0" w:space="0" w:color="auto"/>
      </w:divBdr>
    </w:div>
    <w:div w:id="928539814">
      <w:bodyDiv w:val="1"/>
      <w:marLeft w:val="0"/>
      <w:marRight w:val="0"/>
      <w:marTop w:val="0"/>
      <w:marBottom w:val="0"/>
      <w:divBdr>
        <w:top w:val="none" w:sz="0" w:space="0" w:color="auto"/>
        <w:left w:val="none" w:sz="0" w:space="0" w:color="auto"/>
        <w:bottom w:val="none" w:sz="0" w:space="0" w:color="auto"/>
        <w:right w:val="none" w:sz="0" w:space="0" w:color="auto"/>
      </w:divBdr>
    </w:div>
    <w:div w:id="932201454">
      <w:bodyDiv w:val="1"/>
      <w:marLeft w:val="0"/>
      <w:marRight w:val="0"/>
      <w:marTop w:val="0"/>
      <w:marBottom w:val="0"/>
      <w:divBdr>
        <w:top w:val="none" w:sz="0" w:space="0" w:color="auto"/>
        <w:left w:val="none" w:sz="0" w:space="0" w:color="auto"/>
        <w:bottom w:val="none" w:sz="0" w:space="0" w:color="auto"/>
        <w:right w:val="none" w:sz="0" w:space="0" w:color="auto"/>
      </w:divBdr>
    </w:div>
    <w:div w:id="957178112">
      <w:bodyDiv w:val="1"/>
      <w:marLeft w:val="0"/>
      <w:marRight w:val="0"/>
      <w:marTop w:val="0"/>
      <w:marBottom w:val="0"/>
      <w:divBdr>
        <w:top w:val="none" w:sz="0" w:space="0" w:color="auto"/>
        <w:left w:val="none" w:sz="0" w:space="0" w:color="auto"/>
        <w:bottom w:val="none" w:sz="0" w:space="0" w:color="auto"/>
        <w:right w:val="none" w:sz="0" w:space="0" w:color="auto"/>
      </w:divBdr>
    </w:div>
    <w:div w:id="968979038">
      <w:bodyDiv w:val="1"/>
      <w:marLeft w:val="0"/>
      <w:marRight w:val="0"/>
      <w:marTop w:val="0"/>
      <w:marBottom w:val="0"/>
      <w:divBdr>
        <w:top w:val="none" w:sz="0" w:space="0" w:color="auto"/>
        <w:left w:val="none" w:sz="0" w:space="0" w:color="auto"/>
        <w:bottom w:val="none" w:sz="0" w:space="0" w:color="auto"/>
        <w:right w:val="none" w:sz="0" w:space="0" w:color="auto"/>
      </w:divBdr>
    </w:div>
    <w:div w:id="983512461">
      <w:bodyDiv w:val="1"/>
      <w:marLeft w:val="0"/>
      <w:marRight w:val="0"/>
      <w:marTop w:val="0"/>
      <w:marBottom w:val="0"/>
      <w:divBdr>
        <w:top w:val="none" w:sz="0" w:space="0" w:color="auto"/>
        <w:left w:val="none" w:sz="0" w:space="0" w:color="auto"/>
        <w:bottom w:val="none" w:sz="0" w:space="0" w:color="auto"/>
        <w:right w:val="none" w:sz="0" w:space="0" w:color="auto"/>
      </w:divBdr>
    </w:div>
    <w:div w:id="986739916">
      <w:bodyDiv w:val="1"/>
      <w:marLeft w:val="0"/>
      <w:marRight w:val="0"/>
      <w:marTop w:val="0"/>
      <w:marBottom w:val="0"/>
      <w:divBdr>
        <w:top w:val="none" w:sz="0" w:space="0" w:color="auto"/>
        <w:left w:val="none" w:sz="0" w:space="0" w:color="auto"/>
        <w:bottom w:val="none" w:sz="0" w:space="0" w:color="auto"/>
        <w:right w:val="none" w:sz="0" w:space="0" w:color="auto"/>
      </w:divBdr>
    </w:div>
    <w:div w:id="1009330996">
      <w:bodyDiv w:val="1"/>
      <w:marLeft w:val="0"/>
      <w:marRight w:val="0"/>
      <w:marTop w:val="0"/>
      <w:marBottom w:val="0"/>
      <w:divBdr>
        <w:top w:val="none" w:sz="0" w:space="0" w:color="auto"/>
        <w:left w:val="none" w:sz="0" w:space="0" w:color="auto"/>
        <w:bottom w:val="none" w:sz="0" w:space="0" w:color="auto"/>
        <w:right w:val="none" w:sz="0" w:space="0" w:color="auto"/>
      </w:divBdr>
    </w:div>
    <w:div w:id="1009596950">
      <w:bodyDiv w:val="1"/>
      <w:marLeft w:val="0"/>
      <w:marRight w:val="0"/>
      <w:marTop w:val="0"/>
      <w:marBottom w:val="0"/>
      <w:divBdr>
        <w:top w:val="none" w:sz="0" w:space="0" w:color="auto"/>
        <w:left w:val="none" w:sz="0" w:space="0" w:color="auto"/>
        <w:bottom w:val="none" w:sz="0" w:space="0" w:color="auto"/>
        <w:right w:val="none" w:sz="0" w:space="0" w:color="auto"/>
      </w:divBdr>
    </w:div>
    <w:div w:id="1009679610">
      <w:bodyDiv w:val="1"/>
      <w:marLeft w:val="0"/>
      <w:marRight w:val="0"/>
      <w:marTop w:val="0"/>
      <w:marBottom w:val="0"/>
      <w:divBdr>
        <w:top w:val="none" w:sz="0" w:space="0" w:color="auto"/>
        <w:left w:val="none" w:sz="0" w:space="0" w:color="auto"/>
        <w:bottom w:val="none" w:sz="0" w:space="0" w:color="auto"/>
        <w:right w:val="none" w:sz="0" w:space="0" w:color="auto"/>
      </w:divBdr>
    </w:div>
    <w:div w:id="1026718197">
      <w:bodyDiv w:val="1"/>
      <w:marLeft w:val="0"/>
      <w:marRight w:val="0"/>
      <w:marTop w:val="0"/>
      <w:marBottom w:val="0"/>
      <w:divBdr>
        <w:top w:val="none" w:sz="0" w:space="0" w:color="auto"/>
        <w:left w:val="none" w:sz="0" w:space="0" w:color="auto"/>
        <w:bottom w:val="none" w:sz="0" w:space="0" w:color="auto"/>
        <w:right w:val="none" w:sz="0" w:space="0" w:color="auto"/>
      </w:divBdr>
    </w:div>
    <w:div w:id="1031686204">
      <w:bodyDiv w:val="1"/>
      <w:marLeft w:val="0"/>
      <w:marRight w:val="0"/>
      <w:marTop w:val="0"/>
      <w:marBottom w:val="0"/>
      <w:divBdr>
        <w:top w:val="none" w:sz="0" w:space="0" w:color="auto"/>
        <w:left w:val="none" w:sz="0" w:space="0" w:color="auto"/>
        <w:bottom w:val="none" w:sz="0" w:space="0" w:color="auto"/>
        <w:right w:val="none" w:sz="0" w:space="0" w:color="auto"/>
      </w:divBdr>
    </w:div>
    <w:div w:id="1031954380">
      <w:bodyDiv w:val="1"/>
      <w:marLeft w:val="0"/>
      <w:marRight w:val="0"/>
      <w:marTop w:val="0"/>
      <w:marBottom w:val="0"/>
      <w:divBdr>
        <w:top w:val="none" w:sz="0" w:space="0" w:color="auto"/>
        <w:left w:val="none" w:sz="0" w:space="0" w:color="auto"/>
        <w:bottom w:val="none" w:sz="0" w:space="0" w:color="auto"/>
        <w:right w:val="none" w:sz="0" w:space="0" w:color="auto"/>
      </w:divBdr>
    </w:div>
    <w:div w:id="1053625648">
      <w:bodyDiv w:val="1"/>
      <w:marLeft w:val="0"/>
      <w:marRight w:val="0"/>
      <w:marTop w:val="0"/>
      <w:marBottom w:val="0"/>
      <w:divBdr>
        <w:top w:val="none" w:sz="0" w:space="0" w:color="auto"/>
        <w:left w:val="none" w:sz="0" w:space="0" w:color="auto"/>
        <w:bottom w:val="none" w:sz="0" w:space="0" w:color="auto"/>
        <w:right w:val="none" w:sz="0" w:space="0" w:color="auto"/>
      </w:divBdr>
    </w:div>
    <w:div w:id="1065028766">
      <w:bodyDiv w:val="1"/>
      <w:marLeft w:val="0"/>
      <w:marRight w:val="0"/>
      <w:marTop w:val="0"/>
      <w:marBottom w:val="0"/>
      <w:divBdr>
        <w:top w:val="none" w:sz="0" w:space="0" w:color="auto"/>
        <w:left w:val="none" w:sz="0" w:space="0" w:color="auto"/>
        <w:bottom w:val="none" w:sz="0" w:space="0" w:color="auto"/>
        <w:right w:val="none" w:sz="0" w:space="0" w:color="auto"/>
      </w:divBdr>
    </w:div>
    <w:div w:id="1076706310">
      <w:bodyDiv w:val="1"/>
      <w:marLeft w:val="0"/>
      <w:marRight w:val="0"/>
      <w:marTop w:val="0"/>
      <w:marBottom w:val="0"/>
      <w:divBdr>
        <w:top w:val="none" w:sz="0" w:space="0" w:color="auto"/>
        <w:left w:val="none" w:sz="0" w:space="0" w:color="auto"/>
        <w:bottom w:val="none" w:sz="0" w:space="0" w:color="auto"/>
        <w:right w:val="none" w:sz="0" w:space="0" w:color="auto"/>
      </w:divBdr>
    </w:div>
    <w:div w:id="1122267571">
      <w:bodyDiv w:val="1"/>
      <w:marLeft w:val="0"/>
      <w:marRight w:val="0"/>
      <w:marTop w:val="0"/>
      <w:marBottom w:val="0"/>
      <w:divBdr>
        <w:top w:val="none" w:sz="0" w:space="0" w:color="auto"/>
        <w:left w:val="none" w:sz="0" w:space="0" w:color="auto"/>
        <w:bottom w:val="none" w:sz="0" w:space="0" w:color="auto"/>
        <w:right w:val="none" w:sz="0" w:space="0" w:color="auto"/>
      </w:divBdr>
      <w:divsChild>
        <w:div w:id="1158154869">
          <w:marLeft w:val="0"/>
          <w:marRight w:val="0"/>
          <w:marTop w:val="0"/>
          <w:marBottom w:val="0"/>
          <w:divBdr>
            <w:top w:val="none" w:sz="0" w:space="0" w:color="auto"/>
            <w:left w:val="none" w:sz="0" w:space="0" w:color="auto"/>
            <w:bottom w:val="none" w:sz="0" w:space="0" w:color="auto"/>
            <w:right w:val="none" w:sz="0" w:space="0" w:color="auto"/>
          </w:divBdr>
        </w:div>
      </w:divsChild>
    </w:div>
    <w:div w:id="1125390931">
      <w:bodyDiv w:val="1"/>
      <w:marLeft w:val="0"/>
      <w:marRight w:val="0"/>
      <w:marTop w:val="0"/>
      <w:marBottom w:val="0"/>
      <w:divBdr>
        <w:top w:val="none" w:sz="0" w:space="0" w:color="auto"/>
        <w:left w:val="none" w:sz="0" w:space="0" w:color="auto"/>
        <w:bottom w:val="none" w:sz="0" w:space="0" w:color="auto"/>
        <w:right w:val="none" w:sz="0" w:space="0" w:color="auto"/>
      </w:divBdr>
    </w:div>
    <w:div w:id="1130318104">
      <w:bodyDiv w:val="1"/>
      <w:marLeft w:val="0"/>
      <w:marRight w:val="0"/>
      <w:marTop w:val="0"/>
      <w:marBottom w:val="0"/>
      <w:divBdr>
        <w:top w:val="none" w:sz="0" w:space="0" w:color="auto"/>
        <w:left w:val="none" w:sz="0" w:space="0" w:color="auto"/>
        <w:bottom w:val="none" w:sz="0" w:space="0" w:color="auto"/>
        <w:right w:val="none" w:sz="0" w:space="0" w:color="auto"/>
      </w:divBdr>
    </w:div>
    <w:div w:id="1148129657">
      <w:bodyDiv w:val="1"/>
      <w:marLeft w:val="0"/>
      <w:marRight w:val="0"/>
      <w:marTop w:val="0"/>
      <w:marBottom w:val="0"/>
      <w:divBdr>
        <w:top w:val="none" w:sz="0" w:space="0" w:color="auto"/>
        <w:left w:val="none" w:sz="0" w:space="0" w:color="auto"/>
        <w:bottom w:val="none" w:sz="0" w:space="0" w:color="auto"/>
        <w:right w:val="none" w:sz="0" w:space="0" w:color="auto"/>
      </w:divBdr>
    </w:div>
    <w:div w:id="1160660464">
      <w:bodyDiv w:val="1"/>
      <w:marLeft w:val="0"/>
      <w:marRight w:val="0"/>
      <w:marTop w:val="0"/>
      <w:marBottom w:val="0"/>
      <w:divBdr>
        <w:top w:val="none" w:sz="0" w:space="0" w:color="auto"/>
        <w:left w:val="none" w:sz="0" w:space="0" w:color="auto"/>
        <w:bottom w:val="none" w:sz="0" w:space="0" w:color="auto"/>
        <w:right w:val="none" w:sz="0" w:space="0" w:color="auto"/>
      </w:divBdr>
    </w:div>
    <w:div w:id="1175072616">
      <w:bodyDiv w:val="1"/>
      <w:marLeft w:val="0"/>
      <w:marRight w:val="0"/>
      <w:marTop w:val="0"/>
      <w:marBottom w:val="0"/>
      <w:divBdr>
        <w:top w:val="none" w:sz="0" w:space="0" w:color="auto"/>
        <w:left w:val="none" w:sz="0" w:space="0" w:color="auto"/>
        <w:bottom w:val="none" w:sz="0" w:space="0" w:color="auto"/>
        <w:right w:val="none" w:sz="0" w:space="0" w:color="auto"/>
      </w:divBdr>
    </w:div>
    <w:div w:id="1202858799">
      <w:bodyDiv w:val="1"/>
      <w:marLeft w:val="0"/>
      <w:marRight w:val="0"/>
      <w:marTop w:val="0"/>
      <w:marBottom w:val="0"/>
      <w:divBdr>
        <w:top w:val="none" w:sz="0" w:space="0" w:color="auto"/>
        <w:left w:val="none" w:sz="0" w:space="0" w:color="auto"/>
        <w:bottom w:val="none" w:sz="0" w:space="0" w:color="auto"/>
        <w:right w:val="none" w:sz="0" w:space="0" w:color="auto"/>
      </w:divBdr>
    </w:div>
    <w:div w:id="1208106265">
      <w:bodyDiv w:val="1"/>
      <w:marLeft w:val="0"/>
      <w:marRight w:val="0"/>
      <w:marTop w:val="0"/>
      <w:marBottom w:val="0"/>
      <w:divBdr>
        <w:top w:val="none" w:sz="0" w:space="0" w:color="auto"/>
        <w:left w:val="none" w:sz="0" w:space="0" w:color="auto"/>
        <w:bottom w:val="none" w:sz="0" w:space="0" w:color="auto"/>
        <w:right w:val="none" w:sz="0" w:space="0" w:color="auto"/>
      </w:divBdr>
    </w:div>
    <w:div w:id="1226179429">
      <w:bodyDiv w:val="1"/>
      <w:marLeft w:val="0"/>
      <w:marRight w:val="0"/>
      <w:marTop w:val="0"/>
      <w:marBottom w:val="0"/>
      <w:divBdr>
        <w:top w:val="none" w:sz="0" w:space="0" w:color="auto"/>
        <w:left w:val="none" w:sz="0" w:space="0" w:color="auto"/>
        <w:bottom w:val="none" w:sz="0" w:space="0" w:color="auto"/>
        <w:right w:val="none" w:sz="0" w:space="0" w:color="auto"/>
      </w:divBdr>
    </w:div>
    <w:div w:id="1227492592">
      <w:bodyDiv w:val="1"/>
      <w:marLeft w:val="0"/>
      <w:marRight w:val="0"/>
      <w:marTop w:val="0"/>
      <w:marBottom w:val="0"/>
      <w:divBdr>
        <w:top w:val="none" w:sz="0" w:space="0" w:color="auto"/>
        <w:left w:val="none" w:sz="0" w:space="0" w:color="auto"/>
        <w:bottom w:val="none" w:sz="0" w:space="0" w:color="auto"/>
        <w:right w:val="none" w:sz="0" w:space="0" w:color="auto"/>
      </w:divBdr>
    </w:div>
    <w:div w:id="1232154194">
      <w:bodyDiv w:val="1"/>
      <w:marLeft w:val="0"/>
      <w:marRight w:val="0"/>
      <w:marTop w:val="0"/>
      <w:marBottom w:val="0"/>
      <w:divBdr>
        <w:top w:val="none" w:sz="0" w:space="0" w:color="auto"/>
        <w:left w:val="none" w:sz="0" w:space="0" w:color="auto"/>
        <w:bottom w:val="none" w:sz="0" w:space="0" w:color="auto"/>
        <w:right w:val="none" w:sz="0" w:space="0" w:color="auto"/>
      </w:divBdr>
    </w:div>
    <w:div w:id="1251281769">
      <w:bodyDiv w:val="1"/>
      <w:marLeft w:val="0"/>
      <w:marRight w:val="0"/>
      <w:marTop w:val="0"/>
      <w:marBottom w:val="0"/>
      <w:divBdr>
        <w:top w:val="none" w:sz="0" w:space="0" w:color="auto"/>
        <w:left w:val="none" w:sz="0" w:space="0" w:color="auto"/>
        <w:bottom w:val="none" w:sz="0" w:space="0" w:color="auto"/>
        <w:right w:val="none" w:sz="0" w:space="0" w:color="auto"/>
      </w:divBdr>
    </w:div>
    <w:div w:id="1271204257">
      <w:bodyDiv w:val="1"/>
      <w:marLeft w:val="0"/>
      <w:marRight w:val="0"/>
      <w:marTop w:val="0"/>
      <w:marBottom w:val="0"/>
      <w:divBdr>
        <w:top w:val="none" w:sz="0" w:space="0" w:color="auto"/>
        <w:left w:val="none" w:sz="0" w:space="0" w:color="auto"/>
        <w:bottom w:val="none" w:sz="0" w:space="0" w:color="auto"/>
        <w:right w:val="none" w:sz="0" w:space="0" w:color="auto"/>
      </w:divBdr>
    </w:div>
    <w:div w:id="1280796454">
      <w:bodyDiv w:val="1"/>
      <w:marLeft w:val="0"/>
      <w:marRight w:val="0"/>
      <w:marTop w:val="0"/>
      <w:marBottom w:val="0"/>
      <w:divBdr>
        <w:top w:val="none" w:sz="0" w:space="0" w:color="auto"/>
        <w:left w:val="none" w:sz="0" w:space="0" w:color="auto"/>
        <w:bottom w:val="none" w:sz="0" w:space="0" w:color="auto"/>
        <w:right w:val="none" w:sz="0" w:space="0" w:color="auto"/>
      </w:divBdr>
    </w:div>
    <w:div w:id="1281913275">
      <w:bodyDiv w:val="1"/>
      <w:marLeft w:val="0"/>
      <w:marRight w:val="0"/>
      <w:marTop w:val="0"/>
      <w:marBottom w:val="0"/>
      <w:divBdr>
        <w:top w:val="none" w:sz="0" w:space="0" w:color="auto"/>
        <w:left w:val="none" w:sz="0" w:space="0" w:color="auto"/>
        <w:bottom w:val="none" w:sz="0" w:space="0" w:color="auto"/>
        <w:right w:val="none" w:sz="0" w:space="0" w:color="auto"/>
      </w:divBdr>
    </w:div>
    <w:div w:id="1290939839">
      <w:bodyDiv w:val="1"/>
      <w:marLeft w:val="0"/>
      <w:marRight w:val="0"/>
      <w:marTop w:val="0"/>
      <w:marBottom w:val="0"/>
      <w:divBdr>
        <w:top w:val="none" w:sz="0" w:space="0" w:color="auto"/>
        <w:left w:val="none" w:sz="0" w:space="0" w:color="auto"/>
        <w:bottom w:val="none" w:sz="0" w:space="0" w:color="auto"/>
        <w:right w:val="none" w:sz="0" w:space="0" w:color="auto"/>
      </w:divBdr>
    </w:div>
    <w:div w:id="1304504905">
      <w:bodyDiv w:val="1"/>
      <w:marLeft w:val="0"/>
      <w:marRight w:val="0"/>
      <w:marTop w:val="0"/>
      <w:marBottom w:val="0"/>
      <w:divBdr>
        <w:top w:val="none" w:sz="0" w:space="0" w:color="auto"/>
        <w:left w:val="none" w:sz="0" w:space="0" w:color="auto"/>
        <w:bottom w:val="none" w:sz="0" w:space="0" w:color="auto"/>
        <w:right w:val="none" w:sz="0" w:space="0" w:color="auto"/>
      </w:divBdr>
    </w:div>
    <w:div w:id="1308365741">
      <w:bodyDiv w:val="1"/>
      <w:marLeft w:val="0"/>
      <w:marRight w:val="0"/>
      <w:marTop w:val="0"/>
      <w:marBottom w:val="0"/>
      <w:divBdr>
        <w:top w:val="none" w:sz="0" w:space="0" w:color="auto"/>
        <w:left w:val="none" w:sz="0" w:space="0" w:color="auto"/>
        <w:bottom w:val="none" w:sz="0" w:space="0" w:color="auto"/>
        <w:right w:val="none" w:sz="0" w:space="0" w:color="auto"/>
      </w:divBdr>
    </w:div>
    <w:div w:id="1318608227">
      <w:bodyDiv w:val="1"/>
      <w:marLeft w:val="0"/>
      <w:marRight w:val="0"/>
      <w:marTop w:val="0"/>
      <w:marBottom w:val="0"/>
      <w:divBdr>
        <w:top w:val="none" w:sz="0" w:space="0" w:color="auto"/>
        <w:left w:val="none" w:sz="0" w:space="0" w:color="auto"/>
        <w:bottom w:val="none" w:sz="0" w:space="0" w:color="auto"/>
        <w:right w:val="none" w:sz="0" w:space="0" w:color="auto"/>
      </w:divBdr>
    </w:div>
    <w:div w:id="1319990742">
      <w:bodyDiv w:val="1"/>
      <w:marLeft w:val="0"/>
      <w:marRight w:val="0"/>
      <w:marTop w:val="0"/>
      <w:marBottom w:val="0"/>
      <w:divBdr>
        <w:top w:val="none" w:sz="0" w:space="0" w:color="auto"/>
        <w:left w:val="none" w:sz="0" w:space="0" w:color="auto"/>
        <w:bottom w:val="none" w:sz="0" w:space="0" w:color="auto"/>
        <w:right w:val="none" w:sz="0" w:space="0" w:color="auto"/>
      </w:divBdr>
    </w:div>
    <w:div w:id="1330986868">
      <w:bodyDiv w:val="1"/>
      <w:marLeft w:val="0"/>
      <w:marRight w:val="0"/>
      <w:marTop w:val="0"/>
      <w:marBottom w:val="0"/>
      <w:divBdr>
        <w:top w:val="none" w:sz="0" w:space="0" w:color="auto"/>
        <w:left w:val="none" w:sz="0" w:space="0" w:color="auto"/>
        <w:bottom w:val="none" w:sz="0" w:space="0" w:color="auto"/>
        <w:right w:val="none" w:sz="0" w:space="0" w:color="auto"/>
      </w:divBdr>
    </w:div>
    <w:div w:id="1343975345">
      <w:bodyDiv w:val="1"/>
      <w:marLeft w:val="0"/>
      <w:marRight w:val="0"/>
      <w:marTop w:val="0"/>
      <w:marBottom w:val="0"/>
      <w:divBdr>
        <w:top w:val="none" w:sz="0" w:space="0" w:color="auto"/>
        <w:left w:val="none" w:sz="0" w:space="0" w:color="auto"/>
        <w:bottom w:val="none" w:sz="0" w:space="0" w:color="auto"/>
        <w:right w:val="none" w:sz="0" w:space="0" w:color="auto"/>
      </w:divBdr>
    </w:div>
    <w:div w:id="1351950633">
      <w:bodyDiv w:val="1"/>
      <w:marLeft w:val="0"/>
      <w:marRight w:val="0"/>
      <w:marTop w:val="0"/>
      <w:marBottom w:val="0"/>
      <w:divBdr>
        <w:top w:val="none" w:sz="0" w:space="0" w:color="auto"/>
        <w:left w:val="none" w:sz="0" w:space="0" w:color="auto"/>
        <w:bottom w:val="none" w:sz="0" w:space="0" w:color="auto"/>
        <w:right w:val="none" w:sz="0" w:space="0" w:color="auto"/>
      </w:divBdr>
    </w:div>
    <w:div w:id="1372343374">
      <w:bodyDiv w:val="1"/>
      <w:marLeft w:val="0"/>
      <w:marRight w:val="0"/>
      <w:marTop w:val="0"/>
      <w:marBottom w:val="0"/>
      <w:divBdr>
        <w:top w:val="none" w:sz="0" w:space="0" w:color="auto"/>
        <w:left w:val="none" w:sz="0" w:space="0" w:color="auto"/>
        <w:bottom w:val="none" w:sz="0" w:space="0" w:color="auto"/>
        <w:right w:val="none" w:sz="0" w:space="0" w:color="auto"/>
      </w:divBdr>
    </w:div>
    <w:div w:id="1441877226">
      <w:bodyDiv w:val="1"/>
      <w:marLeft w:val="0"/>
      <w:marRight w:val="0"/>
      <w:marTop w:val="0"/>
      <w:marBottom w:val="0"/>
      <w:divBdr>
        <w:top w:val="none" w:sz="0" w:space="0" w:color="auto"/>
        <w:left w:val="none" w:sz="0" w:space="0" w:color="auto"/>
        <w:bottom w:val="none" w:sz="0" w:space="0" w:color="auto"/>
        <w:right w:val="none" w:sz="0" w:space="0" w:color="auto"/>
      </w:divBdr>
    </w:div>
    <w:div w:id="1456682705">
      <w:bodyDiv w:val="1"/>
      <w:marLeft w:val="0"/>
      <w:marRight w:val="0"/>
      <w:marTop w:val="0"/>
      <w:marBottom w:val="0"/>
      <w:divBdr>
        <w:top w:val="none" w:sz="0" w:space="0" w:color="auto"/>
        <w:left w:val="none" w:sz="0" w:space="0" w:color="auto"/>
        <w:bottom w:val="none" w:sz="0" w:space="0" w:color="auto"/>
        <w:right w:val="none" w:sz="0" w:space="0" w:color="auto"/>
      </w:divBdr>
    </w:div>
    <w:div w:id="1467120210">
      <w:bodyDiv w:val="1"/>
      <w:marLeft w:val="0"/>
      <w:marRight w:val="0"/>
      <w:marTop w:val="0"/>
      <w:marBottom w:val="0"/>
      <w:divBdr>
        <w:top w:val="none" w:sz="0" w:space="0" w:color="auto"/>
        <w:left w:val="none" w:sz="0" w:space="0" w:color="auto"/>
        <w:bottom w:val="none" w:sz="0" w:space="0" w:color="auto"/>
        <w:right w:val="none" w:sz="0" w:space="0" w:color="auto"/>
      </w:divBdr>
    </w:div>
    <w:div w:id="1494955390">
      <w:bodyDiv w:val="1"/>
      <w:marLeft w:val="0"/>
      <w:marRight w:val="0"/>
      <w:marTop w:val="0"/>
      <w:marBottom w:val="0"/>
      <w:divBdr>
        <w:top w:val="none" w:sz="0" w:space="0" w:color="auto"/>
        <w:left w:val="none" w:sz="0" w:space="0" w:color="auto"/>
        <w:bottom w:val="none" w:sz="0" w:space="0" w:color="auto"/>
        <w:right w:val="none" w:sz="0" w:space="0" w:color="auto"/>
      </w:divBdr>
    </w:div>
    <w:div w:id="1508208466">
      <w:bodyDiv w:val="1"/>
      <w:marLeft w:val="0"/>
      <w:marRight w:val="0"/>
      <w:marTop w:val="0"/>
      <w:marBottom w:val="0"/>
      <w:divBdr>
        <w:top w:val="none" w:sz="0" w:space="0" w:color="auto"/>
        <w:left w:val="none" w:sz="0" w:space="0" w:color="auto"/>
        <w:bottom w:val="none" w:sz="0" w:space="0" w:color="auto"/>
        <w:right w:val="none" w:sz="0" w:space="0" w:color="auto"/>
      </w:divBdr>
    </w:div>
    <w:div w:id="1539320456">
      <w:bodyDiv w:val="1"/>
      <w:marLeft w:val="0"/>
      <w:marRight w:val="0"/>
      <w:marTop w:val="0"/>
      <w:marBottom w:val="0"/>
      <w:divBdr>
        <w:top w:val="none" w:sz="0" w:space="0" w:color="auto"/>
        <w:left w:val="none" w:sz="0" w:space="0" w:color="auto"/>
        <w:bottom w:val="none" w:sz="0" w:space="0" w:color="auto"/>
        <w:right w:val="none" w:sz="0" w:space="0" w:color="auto"/>
      </w:divBdr>
    </w:div>
    <w:div w:id="1542785656">
      <w:bodyDiv w:val="1"/>
      <w:marLeft w:val="0"/>
      <w:marRight w:val="0"/>
      <w:marTop w:val="0"/>
      <w:marBottom w:val="0"/>
      <w:divBdr>
        <w:top w:val="none" w:sz="0" w:space="0" w:color="auto"/>
        <w:left w:val="none" w:sz="0" w:space="0" w:color="auto"/>
        <w:bottom w:val="none" w:sz="0" w:space="0" w:color="auto"/>
        <w:right w:val="none" w:sz="0" w:space="0" w:color="auto"/>
      </w:divBdr>
    </w:div>
    <w:div w:id="1550071709">
      <w:bodyDiv w:val="1"/>
      <w:marLeft w:val="0"/>
      <w:marRight w:val="0"/>
      <w:marTop w:val="0"/>
      <w:marBottom w:val="0"/>
      <w:divBdr>
        <w:top w:val="none" w:sz="0" w:space="0" w:color="auto"/>
        <w:left w:val="none" w:sz="0" w:space="0" w:color="auto"/>
        <w:bottom w:val="none" w:sz="0" w:space="0" w:color="auto"/>
        <w:right w:val="none" w:sz="0" w:space="0" w:color="auto"/>
      </w:divBdr>
    </w:div>
    <w:div w:id="1585914999">
      <w:bodyDiv w:val="1"/>
      <w:marLeft w:val="0"/>
      <w:marRight w:val="0"/>
      <w:marTop w:val="0"/>
      <w:marBottom w:val="0"/>
      <w:divBdr>
        <w:top w:val="none" w:sz="0" w:space="0" w:color="auto"/>
        <w:left w:val="none" w:sz="0" w:space="0" w:color="auto"/>
        <w:bottom w:val="none" w:sz="0" w:space="0" w:color="auto"/>
        <w:right w:val="none" w:sz="0" w:space="0" w:color="auto"/>
      </w:divBdr>
    </w:div>
    <w:div w:id="1604337432">
      <w:bodyDiv w:val="1"/>
      <w:marLeft w:val="0"/>
      <w:marRight w:val="0"/>
      <w:marTop w:val="0"/>
      <w:marBottom w:val="0"/>
      <w:divBdr>
        <w:top w:val="none" w:sz="0" w:space="0" w:color="auto"/>
        <w:left w:val="none" w:sz="0" w:space="0" w:color="auto"/>
        <w:bottom w:val="none" w:sz="0" w:space="0" w:color="auto"/>
        <w:right w:val="none" w:sz="0" w:space="0" w:color="auto"/>
      </w:divBdr>
    </w:div>
    <w:div w:id="1653290474">
      <w:bodyDiv w:val="1"/>
      <w:marLeft w:val="0"/>
      <w:marRight w:val="0"/>
      <w:marTop w:val="0"/>
      <w:marBottom w:val="0"/>
      <w:divBdr>
        <w:top w:val="none" w:sz="0" w:space="0" w:color="auto"/>
        <w:left w:val="none" w:sz="0" w:space="0" w:color="auto"/>
        <w:bottom w:val="none" w:sz="0" w:space="0" w:color="auto"/>
        <w:right w:val="none" w:sz="0" w:space="0" w:color="auto"/>
      </w:divBdr>
    </w:div>
    <w:div w:id="1663193118">
      <w:bodyDiv w:val="1"/>
      <w:marLeft w:val="0"/>
      <w:marRight w:val="0"/>
      <w:marTop w:val="0"/>
      <w:marBottom w:val="0"/>
      <w:divBdr>
        <w:top w:val="none" w:sz="0" w:space="0" w:color="auto"/>
        <w:left w:val="none" w:sz="0" w:space="0" w:color="auto"/>
        <w:bottom w:val="none" w:sz="0" w:space="0" w:color="auto"/>
        <w:right w:val="none" w:sz="0" w:space="0" w:color="auto"/>
      </w:divBdr>
    </w:div>
    <w:div w:id="1666974808">
      <w:bodyDiv w:val="1"/>
      <w:marLeft w:val="0"/>
      <w:marRight w:val="0"/>
      <w:marTop w:val="0"/>
      <w:marBottom w:val="0"/>
      <w:divBdr>
        <w:top w:val="none" w:sz="0" w:space="0" w:color="auto"/>
        <w:left w:val="none" w:sz="0" w:space="0" w:color="auto"/>
        <w:bottom w:val="none" w:sz="0" w:space="0" w:color="auto"/>
        <w:right w:val="none" w:sz="0" w:space="0" w:color="auto"/>
      </w:divBdr>
    </w:div>
    <w:div w:id="1669021195">
      <w:bodyDiv w:val="1"/>
      <w:marLeft w:val="0"/>
      <w:marRight w:val="0"/>
      <w:marTop w:val="0"/>
      <w:marBottom w:val="0"/>
      <w:divBdr>
        <w:top w:val="none" w:sz="0" w:space="0" w:color="auto"/>
        <w:left w:val="none" w:sz="0" w:space="0" w:color="auto"/>
        <w:bottom w:val="none" w:sz="0" w:space="0" w:color="auto"/>
        <w:right w:val="none" w:sz="0" w:space="0" w:color="auto"/>
      </w:divBdr>
    </w:div>
    <w:div w:id="1683127398">
      <w:bodyDiv w:val="1"/>
      <w:marLeft w:val="0"/>
      <w:marRight w:val="0"/>
      <w:marTop w:val="0"/>
      <w:marBottom w:val="0"/>
      <w:divBdr>
        <w:top w:val="none" w:sz="0" w:space="0" w:color="auto"/>
        <w:left w:val="none" w:sz="0" w:space="0" w:color="auto"/>
        <w:bottom w:val="none" w:sz="0" w:space="0" w:color="auto"/>
        <w:right w:val="none" w:sz="0" w:space="0" w:color="auto"/>
      </w:divBdr>
    </w:div>
    <w:div w:id="1689020397">
      <w:bodyDiv w:val="1"/>
      <w:marLeft w:val="0"/>
      <w:marRight w:val="0"/>
      <w:marTop w:val="0"/>
      <w:marBottom w:val="0"/>
      <w:divBdr>
        <w:top w:val="none" w:sz="0" w:space="0" w:color="auto"/>
        <w:left w:val="none" w:sz="0" w:space="0" w:color="auto"/>
        <w:bottom w:val="none" w:sz="0" w:space="0" w:color="auto"/>
        <w:right w:val="none" w:sz="0" w:space="0" w:color="auto"/>
      </w:divBdr>
    </w:div>
    <w:div w:id="1714303164">
      <w:bodyDiv w:val="1"/>
      <w:marLeft w:val="0"/>
      <w:marRight w:val="0"/>
      <w:marTop w:val="0"/>
      <w:marBottom w:val="0"/>
      <w:divBdr>
        <w:top w:val="none" w:sz="0" w:space="0" w:color="auto"/>
        <w:left w:val="none" w:sz="0" w:space="0" w:color="auto"/>
        <w:bottom w:val="none" w:sz="0" w:space="0" w:color="auto"/>
        <w:right w:val="none" w:sz="0" w:space="0" w:color="auto"/>
      </w:divBdr>
    </w:div>
    <w:div w:id="1722826889">
      <w:bodyDiv w:val="1"/>
      <w:marLeft w:val="0"/>
      <w:marRight w:val="0"/>
      <w:marTop w:val="0"/>
      <w:marBottom w:val="0"/>
      <w:divBdr>
        <w:top w:val="none" w:sz="0" w:space="0" w:color="auto"/>
        <w:left w:val="none" w:sz="0" w:space="0" w:color="auto"/>
        <w:bottom w:val="none" w:sz="0" w:space="0" w:color="auto"/>
        <w:right w:val="none" w:sz="0" w:space="0" w:color="auto"/>
      </w:divBdr>
    </w:div>
    <w:div w:id="1740471635">
      <w:bodyDiv w:val="1"/>
      <w:marLeft w:val="0"/>
      <w:marRight w:val="0"/>
      <w:marTop w:val="0"/>
      <w:marBottom w:val="0"/>
      <w:divBdr>
        <w:top w:val="none" w:sz="0" w:space="0" w:color="auto"/>
        <w:left w:val="none" w:sz="0" w:space="0" w:color="auto"/>
        <w:bottom w:val="none" w:sz="0" w:space="0" w:color="auto"/>
        <w:right w:val="none" w:sz="0" w:space="0" w:color="auto"/>
      </w:divBdr>
    </w:div>
    <w:div w:id="1773236386">
      <w:bodyDiv w:val="1"/>
      <w:marLeft w:val="0"/>
      <w:marRight w:val="0"/>
      <w:marTop w:val="0"/>
      <w:marBottom w:val="0"/>
      <w:divBdr>
        <w:top w:val="none" w:sz="0" w:space="0" w:color="auto"/>
        <w:left w:val="none" w:sz="0" w:space="0" w:color="auto"/>
        <w:bottom w:val="none" w:sz="0" w:space="0" w:color="auto"/>
        <w:right w:val="none" w:sz="0" w:space="0" w:color="auto"/>
      </w:divBdr>
    </w:div>
    <w:div w:id="1777019967">
      <w:bodyDiv w:val="1"/>
      <w:marLeft w:val="0"/>
      <w:marRight w:val="0"/>
      <w:marTop w:val="0"/>
      <w:marBottom w:val="0"/>
      <w:divBdr>
        <w:top w:val="none" w:sz="0" w:space="0" w:color="auto"/>
        <w:left w:val="none" w:sz="0" w:space="0" w:color="auto"/>
        <w:bottom w:val="none" w:sz="0" w:space="0" w:color="auto"/>
        <w:right w:val="none" w:sz="0" w:space="0" w:color="auto"/>
      </w:divBdr>
    </w:div>
    <w:div w:id="1782335074">
      <w:bodyDiv w:val="1"/>
      <w:marLeft w:val="0"/>
      <w:marRight w:val="0"/>
      <w:marTop w:val="0"/>
      <w:marBottom w:val="0"/>
      <w:divBdr>
        <w:top w:val="none" w:sz="0" w:space="0" w:color="auto"/>
        <w:left w:val="none" w:sz="0" w:space="0" w:color="auto"/>
        <w:bottom w:val="none" w:sz="0" w:space="0" w:color="auto"/>
        <w:right w:val="none" w:sz="0" w:space="0" w:color="auto"/>
      </w:divBdr>
    </w:div>
    <w:div w:id="1795097165">
      <w:bodyDiv w:val="1"/>
      <w:marLeft w:val="0"/>
      <w:marRight w:val="0"/>
      <w:marTop w:val="0"/>
      <w:marBottom w:val="0"/>
      <w:divBdr>
        <w:top w:val="none" w:sz="0" w:space="0" w:color="auto"/>
        <w:left w:val="none" w:sz="0" w:space="0" w:color="auto"/>
        <w:bottom w:val="none" w:sz="0" w:space="0" w:color="auto"/>
        <w:right w:val="none" w:sz="0" w:space="0" w:color="auto"/>
      </w:divBdr>
    </w:div>
    <w:div w:id="1805585566">
      <w:bodyDiv w:val="1"/>
      <w:marLeft w:val="0"/>
      <w:marRight w:val="0"/>
      <w:marTop w:val="0"/>
      <w:marBottom w:val="0"/>
      <w:divBdr>
        <w:top w:val="none" w:sz="0" w:space="0" w:color="auto"/>
        <w:left w:val="none" w:sz="0" w:space="0" w:color="auto"/>
        <w:bottom w:val="none" w:sz="0" w:space="0" w:color="auto"/>
        <w:right w:val="none" w:sz="0" w:space="0" w:color="auto"/>
      </w:divBdr>
    </w:div>
    <w:div w:id="1819416600">
      <w:bodyDiv w:val="1"/>
      <w:marLeft w:val="0"/>
      <w:marRight w:val="0"/>
      <w:marTop w:val="0"/>
      <w:marBottom w:val="0"/>
      <w:divBdr>
        <w:top w:val="none" w:sz="0" w:space="0" w:color="auto"/>
        <w:left w:val="none" w:sz="0" w:space="0" w:color="auto"/>
        <w:bottom w:val="none" w:sz="0" w:space="0" w:color="auto"/>
        <w:right w:val="none" w:sz="0" w:space="0" w:color="auto"/>
      </w:divBdr>
    </w:div>
    <w:div w:id="1822111018">
      <w:bodyDiv w:val="1"/>
      <w:marLeft w:val="0"/>
      <w:marRight w:val="0"/>
      <w:marTop w:val="0"/>
      <w:marBottom w:val="0"/>
      <w:divBdr>
        <w:top w:val="none" w:sz="0" w:space="0" w:color="auto"/>
        <w:left w:val="none" w:sz="0" w:space="0" w:color="auto"/>
        <w:bottom w:val="none" w:sz="0" w:space="0" w:color="auto"/>
        <w:right w:val="none" w:sz="0" w:space="0" w:color="auto"/>
      </w:divBdr>
    </w:div>
    <w:div w:id="1841894406">
      <w:bodyDiv w:val="1"/>
      <w:marLeft w:val="0"/>
      <w:marRight w:val="0"/>
      <w:marTop w:val="0"/>
      <w:marBottom w:val="0"/>
      <w:divBdr>
        <w:top w:val="none" w:sz="0" w:space="0" w:color="auto"/>
        <w:left w:val="none" w:sz="0" w:space="0" w:color="auto"/>
        <w:bottom w:val="none" w:sz="0" w:space="0" w:color="auto"/>
        <w:right w:val="none" w:sz="0" w:space="0" w:color="auto"/>
      </w:divBdr>
    </w:div>
    <w:div w:id="1866093686">
      <w:bodyDiv w:val="1"/>
      <w:marLeft w:val="0"/>
      <w:marRight w:val="0"/>
      <w:marTop w:val="0"/>
      <w:marBottom w:val="0"/>
      <w:divBdr>
        <w:top w:val="none" w:sz="0" w:space="0" w:color="auto"/>
        <w:left w:val="none" w:sz="0" w:space="0" w:color="auto"/>
        <w:bottom w:val="none" w:sz="0" w:space="0" w:color="auto"/>
        <w:right w:val="none" w:sz="0" w:space="0" w:color="auto"/>
      </w:divBdr>
      <w:divsChild>
        <w:div w:id="1653829987">
          <w:marLeft w:val="0"/>
          <w:marRight w:val="0"/>
          <w:marTop w:val="0"/>
          <w:marBottom w:val="0"/>
          <w:divBdr>
            <w:top w:val="none" w:sz="0" w:space="0" w:color="auto"/>
            <w:left w:val="none" w:sz="0" w:space="0" w:color="auto"/>
            <w:bottom w:val="none" w:sz="0" w:space="0" w:color="auto"/>
            <w:right w:val="none" w:sz="0" w:space="0" w:color="auto"/>
          </w:divBdr>
          <w:divsChild>
            <w:div w:id="1696269448">
              <w:marLeft w:val="0"/>
              <w:marRight w:val="0"/>
              <w:marTop w:val="0"/>
              <w:marBottom w:val="0"/>
              <w:divBdr>
                <w:top w:val="none" w:sz="0" w:space="0" w:color="auto"/>
                <w:left w:val="none" w:sz="0" w:space="0" w:color="auto"/>
                <w:bottom w:val="none" w:sz="0" w:space="0" w:color="auto"/>
                <w:right w:val="none" w:sz="0" w:space="0" w:color="auto"/>
              </w:divBdr>
              <w:divsChild>
                <w:div w:id="816920936">
                  <w:marLeft w:val="0"/>
                  <w:marRight w:val="0"/>
                  <w:marTop w:val="0"/>
                  <w:marBottom w:val="0"/>
                  <w:divBdr>
                    <w:top w:val="none" w:sz="0" w:space="0" w:color="auto"/>
                    <w:left w:val="none" w:sz="0" w:space="0" w:color="auto"/>
                    <w:bottom w:val="none" w:sz="0" w:space="0" w:color="auto"/>
                    <w:right w:val="none" w:sz="0" w:space="0" w:color="auto"/>
                  </w:divBdr>
                  <w:divsChild>
                    <w:div w:id="935595721">
                      <w:marLeft w:val="0"/>
                      <w:marRight w:val="0"/>
                      <w:marTop w:val="0"/>
                      <w:marBottom w:val="0"/>
                      <w:divBdr>
                        <w:top w:val="none" w:sz="0" w:space="0" w:color="auto"/>
                        <w:left w:val="none" w:sz="0" w:space="0" w:color="auto"/>
                        <w:bottom w:val="none" w:sz="0" w:space="0" w:color="auto"/>
                        <w:right w:val="none" w:sz="0" w:space="0" w:color="auto"/>
                      </w:divBdr>
                      <w:divsChild>
                        <w:div w:id="2132626714">
                          <w:marLeft w:val="0"/>
                          <w:marRight w:val="0"/>
                          <w:marTop w:val="0"/>
                          <w:marBottom w:val="0"/>
                          <w:divBdr>
                            <w:top w:val="none" w:sz="0" w:space="0" w:color="auto"/>
                            <w:left w:val="none" w:sz="0" w:space="0" w:color="auto"/>
                            <w:bottom w:val="none" w:sz="0" w:space="0" w:color="auto"/>
                            <w:right w:val="none" w:sz="0" w:space="0" w:color="auto"/>
                          </w:divBdr>
                          <w:divsChild>
                            <w:div w:id="789932331">
                              <w:marLeft w:val="0"/>
                              <w:marRight w:val="0"/>
                              <w:marTop w:val="0"/>
                              <w:marBottom w:val="0"/>
                              <w:divBdr>
                                <w:top w:val="none" w:sz="0" w:space="0" w:color="auto"/>
                                <w:left w:val="none" w:sz="0" w:space="0" w:color="auto"/>
                                <w:bottom w:val="none" w:sz="0" w:space="0" w:color="auto"/>
                                <w:right w:val="none" w:sz="0" w:space="0" w:color="auto"/>
                              </w:divBdr>
                            </w:div>
                            <w:div w:id="883446663">
                              <w:marLeft w:val="0"/>
                              <w:marRight w:val="0"/>
                              <w:marTop w:val="0"/>
                              <w:marBottom w:val="0"/>
                              <w:divBdr>
                                <w:top w:val="none" w:sz="0" w:space="0" w:color="auto"/>
                                <w:left w:val="none" w:sz="0" w:space="0" w:color="auto"/>
                                <w:bottom w:val="none" w:sz="0" w:space="0" w:color="auto"/>
                                <w:right w:val="none" w:sz="0" w:space="0" w:color="auto"/>
                              </w:divBdr>
                            </w:div>
                          </w:divsChild>
                        </w:div>
                        <w:div w:id="1493984575">
                          <w:marLeft w:val="0"/>
                          <w:marRight w:val="0"/>
                          <w:marTop w:val="0"/>
                          <w:marBottom w:val="0"/>
                          <w:divBdr>
                            <w:top w:val="none" w:sz="0" w:space="0" w:color="auto"/>
                            <w:left w:val="none" w:sz="0" w:space="0" w:color="auto"/>
                            <w:bottom w:val="none" w:sz="0" w:space="0" w:color="auto"/>
                            <w:right w:val="none" w:sz="0" w:space="0" w:color="auto"/>
                          </w:divBdr>
                          <w:divsChild>
                            <w:div w:id="879316503">
                              <w:marLeft w:val="0"/>
                              <w:marRight w:val="300"/>
                              <w:marTop w:val="180"/>
                              <w:marBottom w:val="0"/>
                              <w:divBdr>
                                <w:top w:val="none" w:sz="0" w:space="0" w:color="auto"/>
                                <w:left w:val="none" w:sz="0" w:space="0" w:color="auto"/>
                                <w:bottom w:val="none" w:sz="0" w:space="0" w:color="auto"/>
                                <w:right w:val="none" w:sz="0" w:space="0" w:color="auto"/>
                              </w:divBdr>
                              <w:divsChild>
                                <w:div w:id="1776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8857">
          <w:marLeft w:val="0"/>
          <w:marRight w:val="0"/>
          <w:marTop w:val="0"/>
          <w:marBottom w:val="0"/>
          <w:divBdr>
            <w:top w:val="none" w:sz="0" w:space="0" w:color="auto"/>
            <w:left w:val="none" w:sz="0" w:space="0" w:color="auto"/>
            <w:bottom w:val="none" w:sz="0" w:space="0" w:color="auto"/>
            <w:right w:val="none" w:sz="0" w:space="0" w:color="auto"/>
          </w:divBdr>
          <w:divsChild>
            <w:div w:id="520901201">
              <w:marLeft w:val="0"/>
              <w:marRight w:val="0"/>
              <w:marTop w:val="0"/>
              <w:marBottom w:val="0"/>
              <w:divBdr>
                <w:top w:val="none" w:sz="0" w:space="0" w:color="auto"/>
                <w:left w:val="none" w:sz="0" w:space="0" w:color="auto"/>
                <w:bottom w:val="none" w:sz="0" w:space="0" w:color="auto"/>
                <w:right w:val="none" w:sz="0" w:space="0" w:color="auto"/>
              </w:divBdr>
              <w:divsChild>
                <w:div w:id="646978045">
                  <w:marLeft w:val="0"/>
                  <w:marRight w:val="0"/>
                  <w:marTop w:val="0"/>
                  <w:marBottom w:val="0"/>
                  <w:divBdr>
                    <w:top w:val="none" w:sz="0" w:space="0" w:color="auto"/>
                    <w:left w:val="none" w:sz="0" w:space="0" w:color="auto"/>
                    <w:bottom w:val="none" w:sz="0" w:space="0" w:color="auto"/>
                    <w:right w:val="none" w:sz="0" w:space="0" w:color="auto"/>
                  </w:divBdr>
                  <w:divsChild>
                    <w:div w:id="2085713609">
                      <w:marLeft w:val="0"/>
                      <w:marRight w:val="0"/>
                      <w:marTop w:val="0"/>
                      <w:marBottom w:val="0"/>
                      <w:divBdr>
                        <w:top w:val="none" w:sz="0" w:space="0" w:color="auto"/>
                        <w:left w:val="none" w:sz="0" w:space="0" w:color="auto"/>
                        <w:bottom w:val="none" w:sz="0" w:space="0" w:color="auto"/>
                        <w:right w:val="none" w:sz="0" w:space="0" w:color="auto"/>
                      </w:divBdr>
                      <w:divsChild>
                        <w:div w:id="752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79911">
      <w:bodyDiv w:val="1"/>
      <w:marLeft w:val="0"/>
      <w:marRight w:val="0"/>
      <w:marTop w:val="0"/>
      <w:marBottom w:val="0"/>
      <w:divBdr>
        <w:top w:val="none" w:sz="0" w:space="0" w:color="auto"/>
        <w:left w:val="none" w:sz="0" w:space="0" w:color="auto"/>
        <w:bottom w:val="none" w:sz="0" w:space="0" w:color="auto"/>
        <w:right w:val="none" w:sz="0" w:space="0" w:color="auto"/>
      </w:divBdr>
    </w:div>
    <w:div w:id="1870560041">
      <w:bodyDiv w:val="1"/>
      <w:marLeft w:val="0"/>
      <w:marRight w:val="0"/>
      <w:marTop w:val="0"/>
      <w:marBottom w:val="0"/>
      <w:divBdr>
        <w:top w:val="none" w:sz="0" w:space="0" w:color="auto"/>
        <w:left w:val="none" w:sz="0" w:space="0" w:color="auto"/>
        <w:bottom w:val="none" w:sz="0" w:space="0" w:color="auto"/>
        <w:right w:val="none" w:sz="0" w:space="0" w:color="auto"/>
      </w:divBdr>
    </w:div>
    <w:div w:id="1902905651">
      <w:bodyDiv w:val="1"/>
      <w:marLeft w:val="0"/>
      <w:marRight w:val="0"/>
      <w:marTop w:val="0"/>
      <w:marBottom w:val="0"/>
      <w:divBdr>
        <w:top w:val="none" w:sz="0" w:space="0" w:color="auto"/>
        <w:left w:val="none" w:sz="0" w:space="0" w:color="auto"/>
        <w:bottom w:val="none" w:sz="0" w:space="0" w:color="auto"/>
        <w:right w:val="none" w:sz="0" w:space="0" w:color="auto"/>
      </w:divBdr>
    </w:div>
    <w:div w:id="1921939513">
      <w:bodyDiv w:val="1"/>
      <w:marLeft w:val="0"/>
      <w:marRight w:val="0"/>
      <w:marTop w:val="0"/>
      <w:marBottom w:val="0"/>
      <w:divBdr>
        <w:top w:val="none" w:sz="0" w:space="0" w:color="auto"/>
        <w:left w:val="none" w:sz="0" w:space="0" w:color="auto"/>
        <w:bottom w:val="none" w:sz="0" w:space="0" w:color="auto"/>
        <w:right w:val="none" w:sz="0" w:space="0" w:color="auto"/>
      </w:divBdr>
    </w:div>
    <w:div w:id="1925457297">
      <w:bodyDiv w:val="1"/>
      <w:marLeft w:val="0"/>
      <w:marRight w:val="0"/>
      <w:marTop w:val="0"/>
      <w:marBottom w:val="0"/>
      <w:divBdr>
        <w:top w:val="none" w:sz="0" w:space="0" w:color="auto"/>
        <w:left w:val="none" w:sz="0" w:space="0" w:color="auto"/>
        <w:bottom w:val="none" w:sz="0" w:space="0" w:color="auto"/>
        <w:right w:val="none" w:sz="0" w:space="0" w:color="auto"/>
      </w:divBdr>
    </w:div>
    <w:div w:id="1930654170">
      <w:bodyDiv w:val="1"/>
      <w:marLeft w:val="0"/>
      <w:marRight w:val="0"/>
      <w:marTop w:val="0"/>
      <w:marBottom w:val="0"/>
      <w:divBdr>
        <w:top w:val="none" w:sz="0" w:space="0" w:color="auto"/>
        <w:left w:val="none" w:sz="0" w:space="0" w:color="auto"/>
        <w:bottom w:val="none" w:sz="0" w:space="0" w:color="auto"/>
        <w:right w:val="none" w:sz="0" w:space="0" w:color="auto"/>
      </w:divBdr>
    </w:div>
    <w:div w:id="1932812311">
      <w:bodyDiv w:val="1"/>
      <w:marLeft w:val="0"/>
      <w:marRight w:val="0"/>
      <w:marTop w:val="0"/>
      <w:marBottom w:val="0"/>
      <w:divBdr>
        <w:top w:val="none" w:sz="0" w:space="0" w:color="auto"/>
        <w:left w:val="none" w:sz="0" w:space="0" w:color="auto"/>
        <w:bottom w:val="none" w:sz="0" w:space="0" w:color="auto"/>
        <w:right w:val="none" w:sz="0" w:space="0" w:color="auto"/>
      </w:divBdr>
    </w:div>
    <w:div w:id="1934968452">
      <w:bodyDiv w:val="1"/>
      <w:marLeft w:val="0"/>
      <w:marRight w:val="0"/>
      <w:marTop w:val="0"/>
      <w:marBottom w:val="0"/>
      <w:divBdr>
        <w:top w:val="none" w:sz="0" w:space="0" w:color="auto"/>
        <w:left w:val="none" w:sz="0" w:space="0" w:color="auto"/>
        <w:bottom w:val="none" w:sz="0" w:space="0" w:color="auto"/>
        <w:right w:val="none" w:sz="0" w:space="0" w:color="auto"/>
      </w:divBdr>
    </w:div>
    <w:div w:id="1944459083">
      <w:bodyDiv w:val="1"/>
      <w:marLeft w:val="0"/>
      <w:marRight w:val="0"/>
      <w:marTop w:val="0"/>
      <w:marBottom w:val="0"/>
      <w:divBdr>
        <w:top w:val="none" w:sz="0" w:space="0" w:color="auto"/>
        <w:left w:val="none" w:sz="0" w:space="0" w:color="auto"/>
        <w:bottom w:val="none" w:sz="0" w:space="0" w:color="auto"/>
        <w:right w:val="none" w:sz="0" w:space="0" w:color="auto"/>
      </w:divBdr>
    </w:div>
    <w:div w:id="1951082061">
      <w:bodyDiv w:val="1"/>
      <w:marLeft w:val="0"/>
      <w:marRight w:val="0"/>
      <w:marTop w:val="0"/>
      <w:marBottom w:val="0"/>
      <w:divBdr>
        <w:top w:val="none" w:sz="0" w:space="0" w:color="auto"/>
        <w:left w:val="none" w:sz="0" w:space="0" w:color="auto"/>
        <w:bottom w:val="none" w:sz="0" w:space="0" w:color="auto"/>
        <w:right w:val="none" w:sz="0" w:space="0" w:color="auto"/>
      </w:divBdr>
    </w:div>
    <w:div w:id="1960722257">
      <w:bodyDiv w:val="1"/>
      <w:marLeft w:val="0"/>
      <w:marRight w:val="0"/>
      <w:marTop w:val="0"/>
      <w:marBottom w:val="0"/>
      <w:divBdr>
        <w:top w:val="none" w:sz="0" w:space="0" w:color="auto"/>
        <w:left w:val="none" w:sz="0" w:space="0" w:color="auto"/>
        <w:bottom w:val="none" w:sz="0" w:space="0" w:color="auto"/>
        <w:right w:val="none" w:sz="0" w:space="0" w:color="auto"/>
      </w:divBdr>
    </w:div>
    <w:div w:id="1989240074">
      <w:bodyDiv w:val="1"/>
      <w:marLeft w:val="0"/>
      <w:marRight w:val="0"/>
      <w:marTop w:val="0"/>
      <w:marBottom w:val="0"/>
      <w:divBdr>
        <w:top w:val="none" w:sz="0" w:space="0" w:color="auto"/>
        <w:left w:val="none" w:sz="0" w:space="0" w:color="auto"/>
        <w:bottom w:val="none" w:sz="0" w:space="0" w:color="auto"/>
        <w:right w:val="none" w:sz="0" w:space="0" w:color="auto"/>
      </w:divBdr>
    </w:div>
    <w:div w:id="1998456673">
      <w:bodyDiv w:val="1"/>
      <w:marLeft w:val="0"/>
      <w:marRight w:val="0"/>
      <w:marTop w:val="0"/>
      <w:marBottom w:val="0"/>
      <w:divBdr>
        <w:top w:val="none" w:sz="0" w:space="0" w:color="auto"/>
        <w:left w:val="none" w:sz="0" w:space="0" w:color="auto"/>
        <w:bottom w:val="none" w:sz="0" w:space="0" w:color="auto"/>
        <w:right w:val="none" w:sz="0" w:space="0" w:color="auto"/>
      </w:divBdr>
    </w:div>
    <w:div w:id="2002537467">
      <w:bodyDiv w:val="1"/>
      <w:marLeft w:val="0"/>
      <w:marRight w:val="0"/>
      <w:marTop w:val="0"/>
      <w:marBottom w:val="0"/>
      <w:divBdr>
        <w:top w:val="none" w:sz="0" w:space="0" w:color="auto"/>
        <w:left w:val="none" w:sz="0" w:space="0" w:color="auto"/>
        <w:bottom w:val="none" w:sz="0" w:space="0" w:color="auto"/>
        <w:right w:val="none" w:sz="0" w:space="0" w:color="auto"/>
      </w:divBdr>
    </w:div>
    <w:div w:id="2012641344">
      <w:bodyDiv w:val="1"/>
      <w:marLeft w:val="0"/>
      <w:marRight w:val="0"/>
      <w:marTop w:val="0"/>
      <w:marBottom w:val="0"/>
      <w:divBdr>
        <w:top w:val="none" w:sz="0" w:space="0" w:color="auto"/>
        <w:left w:val="none" w:sz="0" w:space="0" w:color="auto"/>
        <w:bottom w:val="none" w:sz="0" w:space="0" w:color="auto"/>
        <w:right w:val="none" w:sz="0" w:space="0" w:color="auto"/>
      </w:divBdr>
    </w:div>
    <w:div w:id="2016347169">
      <w:bodyDiv w:val="1"/>
      <w:marLeft w:val="0"/>
      <w:marRight w:val="0"/>
      <w:marTop w:val="0"/>
      <w:marBottom w:val="0"/>
      <w:divBdr>
        <w:top w:val="none" w:sz="0" w:space="0" w:color="auto"/>
        <w:left w:val="none" w:sz="0" w:space="0" w:color="auto"/>
        <w:bottom w:val="none" w:sz="0" w:space="0" w:color="auto"/>
        <w:right w:val="none" w:sz="0" w:space="0" w:color="auto"/>
      </w:divBdr>
    </w:div>
    <w:div w:id="2025016403">
      <w:bodyDiv w:val="1"/>
      <w:marLeft w:val="0"/>
      <w:marRight w:val="0"/>
      <w:marTop w:val="0"/>
      <w:marBottom w:val="0"/>
      <w:divBdr>
        <w:top w:val="none" w:sz="0" w:space="0" w:color="auto"/>
        <w:left w:val="none" w:sz="0" w:space="0" w:color="auto"/>
        <w:bottom w:val="none" w:sz="0" w:space="0" w:color="auto"/>
        <w:right w:val="none" w:sz="0" w:space="0" w:color="auto"/>
      </w:divBdr>
    </w:div>
    <w:div w:id="2032679564">
      <w:bodyDiv w:val="1"/>
      <w:marLeft w:val="0"/>
      <w:marRight w:val="0"/>
      <w:marTop w:val="0"/>
      <w:marBottom w:val="0"/>
      <w:divBdr>
        <w:top w:val="none" w:sz="0" w:space="0" w:color="auto"/>
        <w:left w:val="none" w:sz="0" w:space="0" w:color="auto"/>
        <w:bottom w:val="none" w:sz="0" w:space="0" w:color="auto"/>
        <w:right w:val="none" w:sz="0" w:space="0" w:color="auto"/>
      </w:divBdr>
    </w:div>
    <w:div w:id="2042392125">
      <w:bodyDiv w:val="1"/>
      <w:marLeft w:val="0"/>
      <w:marRight w:val="0"/>
      <w:marTop w:val="0"/>
      <w:marBottom w:val="0"/>
      <w:divBdr>
        <w:top w:val="none" w:sz="0" w:space="0" w:color="auto"/>
        <w:left w:val="none" w:sz="0" w:space="0" w:color="auto"/>
        <w:bottom w:val="none" w:sz="0" w:space="0" w:color="auto"/>
        <w:right w:val="none" w:sz="0" w:space="0" w:color="auto"/>
      </w:divBdr>
    </w:div>
    <w:div w:id="2063553288">
      <w:bodyDiv w:val="1"/>
      <w:marLeft w:val="0"/>
      <w:marRight w:val="0"/>
      <w:marTop w:val="0"/>
      <w:marBottom w:val="0"/>
      <w:divBdr>
        <w:top w:val="none" w:sz="0" w:space="0" w:color="auto"/>
        <w:left w:val="none" w:sz="0" w:space="0" w:color="auto"/>
        <w:bottom w:val="none" w:sz="0" w:space="0" w:color="auto"/>
        <w:right w:val="none" w:sz="0" w:space="0" w:color="auto"/>
      </w:divBdr>
    </w:div>
    <w:div w:id="2075003923">
      <w:bodyDiv w:val="1"/>
      <w:marLeft w:val="0"/>
      <w:marRight w:val="0"/>
      <w:marTop w:val="0"/>
      <w:marBottom w:val="0"/>
      <w:divBdr>
        <w:top w:val="none" w:sz="0" w:space="0" w:color="auto"/>
        <w:left w:val="none" w:sz="0" w:space="0" w:color="auto"/>
        <w:bottom w:val="none" w:sz="0" w:space="0" w:color="auto"/>
        <w:right w:val="none" w:sz="0" w:space="0" w:color="auto"/>
      </w:divBdr>
    </w:div>
    <w:div w:id="2103529678">
      <w:bodyDiv w:val="1"/>
      <w:marLeft w:val="0"/>
      <w:marRight w:val="0"/>
      <w:marTop w:val="0"/>
      <w:marBottom w:val="0"/>
      <w:divBdr>
        <w:top w:val="none" w:sz="0" w:space="0" w:color="auto"/>
        <w:left w:val="none" w:sz="0" w:space="0" w:color="auto"/>
        <w:bottom w:val="none" w:sz="0" w:space="0" w:color="auto"/>
        <w:right w:val="none" w:sz="0" w:space="0" w:color="auto"/>
      </w:divBdr>
    </w:div>
    <w:div w:id="2129350386">
      <w:bodyDiv w:val="1"/>
      <w:marLeft w:val="0"/>
      <w:marRight w:val="0"/>
      <w:marTop w:val="0"/>
      <w:marBottom w:val="0"/>
      <w:divBdr>
        <w:top w:val="none" w:sz="0" w:space="0" w:color="auto"/>
        <w:left w:val="none" w:sz="0" w:space="0" w:color="auto"/>
        <w:bottom w:val="none" w:sz="0" w:space="0" w:color="auto"/>
        <w:right w:val="none" w:sz="0" w:space="0" w:color="auto"/>
      </w:divBdr>
    </w:div>
    <w:div w:id="2129397201">
      <w:bodyDiv w:val="1"/>
      <w:marLeft w:val="0"/>
      <w:marRight w:val="0"/>
      <w:marTop w:val="0"/>
      <w:marBottom w:val="0"/>
      <w:divBdr>
        <w:top w:val="none" w:sz="0" w:space="0" w:color="auto"/>
        <w:left w:val="none" w:sz="0" w:space="0" w:color="auto"/>
        <w:bottom w:val="none" w:sz="0" w:space="0" w:color="auto"/>
        <w:right w:val="none" w:sz="0" w:space="0" w:color="auto"/>
      </w:divBdr>
    </w:div>
    <w:div w:id="2130200622">
      <w:bodyDiv w:val="1"/>
      <w:marLeft w:val="0"/>
      <w:marRight w:val="0"/>
      <w:marTop w:val="0"/>
      <w:marBottom w:val="0"/>
      <w:divBdr>
        <w:top w:val="none" w:sz="0" w:space="0" w:color="auto"/>
        <w:left w:val="none" w:sz="0" w:space="0" w:color="auto"/>
        <w:bottom w:val="none" w:sz="0" w:space="0" w:color="auto"/>
        <w:right w:val="none" w:sz="0" w:space="0" w:color="auto"/>
      </w:divBdr>
    </w:div>
    <w:div w:id="2133863345">
      <w:bodyDiv w:val="1"/>
      <w:marLeft w:val="0"/>
      <w:marRight w:val="0"/>
      <w:marTop w:val="0"/>
      <w:marBottom w:val="0"/>
      <w:divBdr>
        <w:top w:val="none" w:sz="0" w:space="0" w:color="auto"/>
        <w:left w:val="none" w:sz="0" w:space="0" w:color="auto"/>
        <w:bottom w:val="none" w:sz="0" w:space="0" w:color="auto"/>
        <w:right w:val="none" w:sz="0" w:space="0" w:color="auto"/>
      </w:divBdr>
    </w:div>
    <w:div w:id="21342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D754-6B93-4209-9AE3-4A52D500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6713</TotalTime>
  <Pages>65</Pages>
  <Words>27219</Words>
  <Characters>155149</Characters>
  <Application>Microsoft Office Word</Application>
  <DocSecurity>0</DocSecurity>
  <Lines>1292</Lines>
  <Paragraphs>364</Paragraphs>
  <ScaleCrop>false</ScaleCrop>
  <HeadingPairs>
    <vt:vector size="2" baseType="variant">
      <vt:variant>
        <vt:lpstr>Название</vt:lpstr>
      </vt:variant>
      <vt:variant>
        <vt:i4>1</vt:i4>
      </vt:variant>
    </vt:vector>
  </HeadingPairs>
  <TitlesOfParts>
    <vt:vector size="1" baseType="lpstr">
      <vt:lpstr>РІЧНИЙ ЗВІТ</vt:lpstr>
    </vt:vector>
  </TitlesOfParts>
  <Company>SPecialiST RePack</Company>
  <LinksUpToDate>false</LinksUpToDate>
  <CharactersWithSpaces>182004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РІЧНИЙ ЗВІТ</dc:title>
  <dc:creator>zelenuk</dc:creator>
  <cp:lastModifiedBy>user</cp:lastModifiedBy>
  <cp:revision>25</cp:revision>
  <cp:lastPrinted>2019-09-17T13:36:00Z</cp:lastPrinted>
  <dcterms:created xsi:type="dcterms:W3CDTF">2019-06-21T16:18:00Z</dcterms:created>
  <dcterms:modified xsi:type="dcterms:W3CDTF">2019-09-17T13:54:00Z</dcterms:modified>
</cp:coreProperties>
</file>